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32DBC" w14:textId="77777777" w:rsidR="00E0357B" w:rsidRDefault="004E6089">
      <w:pPr>
        <w:pStyle w:val="Aanhef"/>
      </w:pPr>
      <w:bookmarkStart w:id="0" w:name="_GoBack"/>
      <w:bookmarkEnd w:id="0"/>
      <w:r>
        <w:t>Geachte voorzitter,</w:t>
      </w:r>
    </w:p>
    <w:p w14:paraId="567E4A14" w14:textId="48E9FF3D" w:rsidR="004F5342" w:rsidRDefault="007E11DA">
      <w:r>
        <w:t xml:space="preserve">Hierbij </w:t>
      </w:r>
      <w:r w:rsidR="006E53E4">
        <w:t>informeer ik uw</w:t>
      </w:r>
      <w:r>
        <w:t xml:space="preserve"> Kamer over de </w:t>
      </w:r>
      <w:r w:rsidR="00C23047">
        <w:t>stand van zaken van de</w:t>
      </w:r>
      <w:r>
        <w:t xml:space="preserve"> aanvraag tot aanwijzing van de </w:t>
      </w:r>
      <w:r w:rsidR="00832EE0">
        <w:t>BSO</w:t>
      </w:r>
      <w:r>
        <w:t>-bus</w:t>
      </w:r>
      <w:r w:rsidR="00EB07DD">
        <w:rPr>
          <w:rStyle w:val="Voetnootmarkering"/>
        </w:rPr>
        <w:footnoteReference w:id="1"/>
      </w:r>
      <w:r>
        <w:t xml:space="preserve"> als bijzondere bromfiets. </w:t>
      </w:r>
      <w:r w:rsidR="00F565B6">
        <w:t xml:space="preserve">In deze brief schets ik het proces dat sinds de laatste </w:t>
      </w:r>
      <w:r w:rsidR="00EC3599">
        <w:t>Kamer</w:t>
      </w:r>
      <w:r w:rsidR="00F565B6">
        <w:t xml:space="preserve">brief van </w:t>
      </w:r>
      <w:r w:rsidR="0055260A">
        <w:t>16 juli jl</w:t>
      </w:r>
      <w:r w:rsidR="00F565B6">
        <w:t>.</w:t>
      </w:r>
      <w:r w:rsidR="0055260A">
        <w:rPr>
          <w:rStyle w:val="Voetnootmarkering"/>
        </w:rPr>
        <w:footnoteReference w:id="2"/>
      </w:r>
      <w:r w:rsidR="00F565B6">
        <w:t xml:space="preserve"> is doorlopen. </w:t>
      </w:r>
      <w:r w:rsidR="005F1E9D">
        <w:t xml:space="preserve">Dat proces heeft mij gebracht tot het voornemen om </w:t>
      </w:r>
      <w:r w:rsidR="00F565B6">
        <w:t xml:space="preserve">de </w:t>
      </w:r>
      <w:r w:rsidR="00832EE0">
        <w:t>BSO</w:t>
      </w:r>
      <w:r w:rsidR="00CC2B76" w:rsidRPr="00CC2B76">
        <w:t xml:space="preserve">-bus </w:t>
      </w:r>
      <w:r w:rsidR="005F1E9D">
        <w:t>aan te wijzen</w:t>
      </w:r>
      <w:r w:rsidR="00F565B6">
        <w:t xml:space="preserve"> als bijzondere bromfiets en </w:t>
      </w:r>
      <w:r w:rsidR="00A020E4">
        <w:t xml:space="preserve">daarmee </w:t>
      </w:r>
      <w:r w:rsidR="005F1E9D">
        <w:t>toe te laten</w:t>
      </w:r>
      <w:r w:rsidR="00A020E4" w:rsidRPr="00A020E4">
        <w:t xml:space="preserve"> tot het verkeer op de weg. </w:t>
      </w:r>
      <w:r w:rsidR="00F11324">
        <w:t xml:space="preserve">Gezien uw verzoek om volledig op de hoogte te worden gehouden op dit dossier hecht ik er aan het doorlopen proces </w:t>
      </w:r>
      <w:r w:rsidR="00CC2B76">
        <w:t xml:space="preserve">kort </w:t>
      </w:r>
      <w:r w:rsidR="00F11324">
        <w:t>uiteen te zetten</w:t>
      </w:r>
      <w:r w:rsidR="003E6822">
        <w:t>.</w:t>
      </w:r>
      <w:r w:rsidR="00C23FC5">
        <w:t xml:space="preserve"> </w:t>
      </w:r>
    </w:p>
    <w:p w14:paraId="45ECD7BA" w14:textId="77777777" w:rsidR="004F5342" w:rsidRDefault="004F5342"/>
    <w:p w14:paraId="2A1CDB14" w14:textId="53F1A51F" w:rsidR="0013668D" w:rsidRDefault="00F565B6">
      <w:r>
        <w:t xml:space="preserve">Op 10 oktober 2019 heeft de fabrikant </w:t>
      </w:r>
      <w:r w:rsidR="00C23FC5">
        <w:t xml:space="preserve">de nu lopende </w:t>
      </w:r>
      <w:r>
        <w:t>aanvraag ingediend voor</w:t>
      </w:r>
      <w:r w:rsidR="00F11324">
        <w:t xml:space="preserve"> de aanwijzing van de </w:t>
      </w:r>
      <w:r w:rsidR="00832EE0">
        <w:t>BSO</w:t>
      </w:r>
      <w:r w:rsidR="009D3E64">
        <w:t>-bus</w:t>
      </w:r>
      <w:r w:rsidR="00F11324">
        <w:t xml:space="preserve"> als bijzondere bromfiets</w:t>
      </w:r>
      <w:r w:rsidR="00C23FC5">
        <w:t xml:space="preserve">. </w:t>
      </w:r>
      <w:r w:rsidR="00EC3599">
        <w:t>Na een controle of de aanvraag volledig was,</w:t>
      </w:r>
      <w:r w:rsidR="00C23FC5">
        <w:t xml:space="preserve"> </w:t>
      </w:r>
      <w:r w:rsidR="00F42C5F">
        <w:t>is advies gevraagd aan</w:t>
      </w:r>
      <w:r w:rsidR="00C23FC5">
        <w:t xml:space="preserve"> de</w:t>
      </w:r>
      <w:r w:rsidR="00D46B1B">
        <w:t xml:space="preserve"> Dienst Wegverkeer</w:t>
      </w:r>
      <w:r w:rsidR="00C23FC5">
        <w:t xml:space="preserve"> </w:t>
      </w:r>
      <w:r w:rsidR="00D46B1B">
        <w:t>(</w:t>
      </w:r>
      <w:r w:rsidR="00C23FC5">
        <w:t>RDW</w:t>
      </w:r>
      <w:r w:rsidR="00D46B1B">
        <w:t>)</w:t>
      </w:r>
      <w:r w:rsidR="00C23FC5">
        <w:t xml:space="preserve"> voor een technische beoordeling en </w:t>
      </w:r>
      <w:r w:rsidR="00EC3599">
        <w:t>is</w:t>
      </w:r>
      <w:r w:rsidR="00C23FC5">
        <w:t xml:space="preserve"> de</w:t>
      </w:r>
      <w:r w:rsidR="00E23374">
        <w:t xml:space="preserve"> Stichting Wetenschappelijk Onderzoek Verkeersveiligheid</w:t>
      </w:r>
      <w:r w:rsidR="00C23FC5">
        <w:t xml:space="preserve"> </w:t>
      </w:r>
      <w:r w:rsidR="00E23374">
        <w:t>(</w:t>
      </w:r>
      <w:r w:rsidR="00C23FC5">
        <w:t>SWOV</w:t>
      </w:r>
      <w:r w:rsidR="00E23374">
        <w:t>)</w:t>
      </w:r>
      <w:r w:rsidR="00C23FC5">
        <w:t xml:space="preserve"> een second opinion (aanvullend advies)</w:t>
      </w:r>
      <w:r w:rsidR="00EC3599">
        <w:t xml:space="preserve"> gevraagd</w:t>
      </w:r>
      <w:r w:rsidR="00C23FC5">
        <w:t xml:space="preserve"> op het veiligheidsrapport van de fabrikant</w:t>
      </w:r>
      <w:r w:rsidR="00F11324">
        <w:t xml:space="preserve">. </w:t>
      </w:r>
      <w:r w:rsidR="00C23FC5">
        <w:t>Uw Kamer is op 19 december 2019</w:t>
      </w:r>
      <w:r w:rsidR="00EC3599">
        <w:t xml:space="preserve"> en 16 juli 2020</w:t>
      </w:r>
      <w:r w:rsidR="00C23FC5">
        <w:t xml:space="preserve"> over de</w:t>
      </w:r>
      <w:r w:rsidR="00EC3599">
        <w:t xml:space="preserve"> stand van zaken van de</w:t>
      </w:r>
      <w:r w:rsidR="00C23FC5">
        <w:t xml:space="preserve"> aanvraag </w:t>
      </w:r>
      <w:r w:rsidR="00CC4EAB">
        <w:t xml:space="preserve">nader </w:t>
      </w:r>
      <w:r w:rsidR="00C23FC5">
        <w:t>geïnformeerd</w:t>
      </w:r>
      <w:r w:rsidR="00CC4EAB">
        <w:t>.</w:t>
      </w:r>
      <w:r w:rsidR="00C23FC5">
        <w:rPr>
          <w:rStyle w:val="Voetnootmarkering"/>
        </w:rPr>
        <w:footnoteReference w:id="3"/>
      </w:r>
      <w:r w:rsidR="00F11324">
        <w:t xml:space="preserve"> </w:t>
      </w:r>
    </w:p>
    <w:p w14:paraId="300D664F" w14:textId="77777777" w:rsidR="0013668D" w:rsidRDefault="0013668D"/>
    <w:p w14:paraId="0D1AA896" w14:textId="77777777" w:rsidR="0013668D" w:rsidRPr="00CC4EAB" w:rsidRDefault="009A1CC8">
      <w:pPr>
        <w:rPr>
          <w:i/>
        </w:rPr>
      </w:pPr>
      <w:r>
        <w:rPr>
          <w:i/>
        </w:rPr>
        <w:t>Technische beoordeling</w:t>
      </w:r>
      <w:r w:rsidR="0013668D">
        <w:rPr>
          <w:i/>
        </w:rPr>
        <w:t xml:space="preserve"> RDW</w:t>
      </w:r>
    </w:p>
    <w:p w14:paraId="1734F7C8" w14:textId="77777777" w:rsidR="00C87A21" w:rsidRDefault="0013668D" w:rsidP="00EB07DD">
      <w:pPr>
        <w:ind w:left="708" w:hanging="708"/>
      </w:pPr>
      <w:r w:rsidRPr="00800315">
        <w:t xml:space="preserve">De RDW </w:t>
      </w:r>
      <w:r>
        <w:t>heeft gekeken naar de veiligheid van het voertuig</w:t>
      </w:r>
      <w:r w:rsidR="00C87A21">
        <w:t xml:space="preserve"> en de kwaliteit van het</w:t>
      </w:r>
    </w:p>
    <w:p w14:paraId="11A77FE7" w14:textId="77777777" w:rsidR="00C87A21" w:rsidRDefault="0013668D" w:rsidP="00EB07DD">
      <w:pPr>
        <w:ind w:left="708" w:hanging="708"/>
      </w:pPr>
      <w:r>
        <w:t xml:space="preserve">productieproces. De RDW schrijft dat aan </w:t>
      </w:r>
      <w:r w:rsidRPr="00800315">
        <w:t xml:space="preserve">alle eisen uit de Beleidsregel aanwijzing </w:t>
      </w:r>
    </w:p>
    <w:p w14:paraId="6FCA5FE5" w14:textId="77777777" w:rsidR="00C87A21" w:rsidRDefault="0013668D" w:rsidP="00C87A21">
      <w:r w:rsidRPr="00800315">
        <w:t xml:space="preserve">bijzondere bromfietsen is voldaan, met uitzondering van het toegelaten maximum aantal van 8 passagiers. </w:t>
      </w:r>
      <w:r w:rsidR="00CC4EAB" w:rsidRPr="00CC4EAB">
        <w:t xml:space="preserve">De sterkte van deze zitplaatsen en de overige onderdelen van het voertuig voldoen wel aan de eisen. </w:t>
      </w:r>
      <w:r w:rsidR="00CC2B76">
        <w:t>Naar aanleiding van een motie van uw Kamer</w:t>
      </w:r>
      <w:r w:rsidR="00F42C5F" w:rsidRPr="00800315">
        <w:t xml:space="preserve"> </w:t>
      </w:r>
      <w:r w:rsidR="00F42C5F">
        <w:t>is voor</w:t>
      </w:r>
      <w:r w:rsidR="00F42C5F" w:rsidRPr="00800315">
        <w:t xml:space="preserve"> de</w:t>
      </w:r>
      <w:r w:rsidR="00F42C5F">
        <w:t>ze specifieke</w:t>
      </w:r>
      <w:r w:rsidR="00F42C5F" w:rsidRPr="00800315">
        <w:t xml:space="preserve"> aanwijzing </w:t>
      </w:r>
      <w:r w:rsidR="00F42C5F">
        <w:t xml:space="preserve">van deze eis </w:t>
      </w:r>
      <w:r w:rsidR="00CC4EAB">
        <w:t xml:space="preserve">met betrekking tot het maximale aantal personen </w:t>
      </w:r>
      <w:r w:rsidR="00F42C5F">
        <w:t>afgeweken</w:t>
      </w:r>
      <w:r w:rsidR="00F42C5F" w:rsidRPr="00800315">
        <w:t>.</w:t>
      </w:r>
      <w:r w:rsidR="00CC2B76">
        <w:rPr>
          <w:rStyle w:val="Voetnootmarkering"/>
        </w:rPr>
        <w:footnoteReference w:id="4"/>
      </w:r>
      <w:r w:rsidR="00F42C5F">
        <w:t xml:space="preserve"> </w:t>
      </w:r>
      <w:r w:rsidRPr="00800315">
        <w:t xml:space="preserve">Randvoorwaarde </w:t>
      </w:r>
      <w:r w:rsidR="00CC2B76">
        <w:t xml:space="preserve">was daarbij </w:t>
      </w:r>
      <w:r w:rsidR="00F42C5F">
        <w:t>dat sprake is</w:t>
      </w:r>
      <w:r w:rsidR="00F42C5F" w:rsidRPr="00800315">
        <w:t xml:space="preserve"> </w:t>
      </w:r>
      <w:r w:rsidRPr="00800315">
        <w:t xml:space="preserve">van </w:t>
      </w:r>
      <w:r>
        <w:t xml:space="preserve">een </w:t>
      </w:r>
      <w:r w:rsidRPr="00800315">
        <w:t>convenan</w:t>
      </w:r>
      <w:r w:rsidR="00C10AF4">
        <w:t>t met de k</w:t>
      </w:r>
      <w:r w:rsidRPr="00800315">
        <w:t xml:space="preserve">inderopvangsector dat voldoende juridisch afdwingbaar is. </w:t>
      </w:r>
      <w:r w:rsidR="00CC4EAB">
        <w:t xml:space="preserve">Het convenant is </w:t>
      </w:r>
      <w:r w:rsidRPr="00800315">
        <w:t xml:space="preserve">op 10 juli 2019 </w:t>
      </w:r>
      <w:r w:rsidR="00CC4EAB">
        <w:t>met uw Kamer gedeeld</w:t>
      </w:r>
      <w:r w:rsidR="009D3E64" w:rsidRPr="009D3E64">
        <w:rPr>
          <w:vertAlign w:val="superscript"/>
        </w:rPr>
        <w:footnoteReference w:id="5"/>
      </w:r>
      <w:r w:rsidR="00CC4EAB">
        <w:t xml:space="preserve">. </w:t>
      </w:r>
      <w:r>
        <w:t>In de bijlage treft u het advies van de RDW aan</w:t>
      </w:r>
      <w:r w:rsidR="00832EE0">
        <w:t>.</w:t>
      </w:r>
    </w:p>
    <w:p w14:paraId="661DC478" w14:textId="77777777" w:rsidR="00C87A21" w:rsidRDefault="00C87A21">
      <w:pPr>
        <w:spacing w:line="240" w:lineRule="auto"/>
      </w:pPr>
      <w:r>
        <w:br w:type="page"/>
      </w:r>
    </w:p>
    <w:p w14:paraId="39F4F8E3" w14:textId="1DDDEEC5" w:rsidR="0013668D" w:rsidRPr="00CC4EAB" w:rsidRDefault="00F42C5F" w:rsidP="00C87A21">
      <w:pPr>
        <w:rPr>
          <w:i/>
        </w:rPr>
      </w:pPr>
      <w:r>
        <w:rPr>
          <w:i/>
        </w:rPr>
        <w:lastRenderedPageBreak/>
        <w:t>V</w:t>
      </w:r>
      <w:r w:rsidR="0013668D">
        <w:rPr>
          <w:i/>
        </w:rPr>
        <w:t>eiligheidsrapport</w:t>
      </w:r>
      <w:r w:rsidR="009A1CC8">
        <w:rPr>
          <w:i/>
        </w:rPr>
        <w:t xml:space="preserve"> van TNO </w:t>
      </w:r>
      <w:r w:rsidR="003B35FD">
        <w:rPr>
          <w:i/>
        </w:rPr>
        <w:t>en aanvullend advies SWOV</w:t>
      </w:r>
    </w:p>
    <w:p w14:paraId="05FCE441" w14:textId="0955C8C4" w:rsidR="009A1CC8" w:rsidRPr="00832EE0" w:rsidRDefault="009A1CC8" w:rsidP="00D93576">
      <w:r w:rsidRPr="00CC4EAB">
        <w:t xml:space="preserve">In de </w:t>
      </w:r>
      <w:r w:rsidR="00F42C5F">
        <w:t>Kamer</w:t>
      </w:r>
      <w:r w:rsidRPr="00CC4EAB">
        <w:t xml:space="preserve">brief van 19 december 2019 </w:t>
      </w:r>
      <w:r w:rsidR="00F42C5F">
        <w:t>is gemeld</w:t>
      </w:r>
      <w:r w:rsidRPr="00CC4EAB">
        <w:t xml:space="preserve"> </w:t>
      </w:r>
      <w:r>
        <w:t xml:space="preserve">dat </w:t>
      </w:r>
      <w:r w:rsidRPr="00CC4EAB">
        <w:t xml:space="preserve">het veiligheidsrapport van de aanvrager is </w:t>
      </w:r>
      <w:r w:rsidR="007F06FB">
        <w:t xml:space="preserve">beoordeeld </w:t>
      </w:r>
      <w:r w:rsidRPr="00CC4EAB">
        <w:t xml:space="preserve">door de SWOV. </w:t>
      </w:r>
      <w:r w:rsidR="00D93576">
        <w:t>Deze beoordeling door</w:t>
      </w:r>
      <w:r w:rsidR="00D93576" w:rsidRPr="00D93576">
        <w:t xml:space="preserve"> de SWOV is gedeeld met de aanvrager met het verzoek om een nieuw rapport op te stellen en daarbij rekening te houden met de bevindingen van de SWOV. </w:t>
      </w:r>
      <w:r w:rsidR="0013668D" w:rsidRPr="00CC4EAB">
        <w:t xml:space="preserve">Naar aanleiding </w:t>
      </w:r>
      <w:r w:rsidRPr="00CC4EAB">
        <w:t>hier</w:t>
      </w:r>
      <w:r w:rsidR="0013668D" w:rsidRPr="00CC4EAB">
        <w:t xml:space="preserve">van heeft de fabrikant aan TNO gevraagd </w:t>
      </w:r>
      <w:r w:rsidR="007F06FB">
        <w:t xml:space="preserve">om een hernieuwd </w:t>
      </w:r>
      <w:r w:rsidR="0013668D" w:rsidRPr="00CC4EAB">
        <w:t xml:space="preserve">veiligheidsrapport </w:t>
      </w:r>
      <w:r w:rsidR="007F06FB">
        <w:t xml:space="preserve">voor hem </w:t>
      </w:r>
      <w:r w:rsidR="0013668D" w:rsidRPr="00CC4EAB">
        <w:t>op te stellen.</w:t>
      </w:r>
      <w:r w:rsidRPr="00CC4EAB">
        <w:t xml:space="preserve"> TNO heeft naar de veiligheid van de </w:t>
      </w:r>
      <w:r w:rsidR="00832EE0">
        <w:t>BSO</w:t>
      </w:r>
      <w:r w:rsidRPr="00CC4EAB">
        <w:t xml:space="preserve">-bus gekeken en constateert hierbij dat de </w:t>
      </w:r>
      <w:r w:rsidR="00832EE0">
        <w:t>BSO</w:t>
      </w:r>
      <w:r w:rsidRPr="00CC4EAB">
        <w:t xml:space="preserve">-bus beter is te besturen dan de eerdere Stint, dat het remmen beter </w:t>
      </w:r>
      <w:proofErr w:type="spellStart"/>
      <w:r w:rsidRPr="00CC4EAB">
        <w:t>doseerbaar</w:t>
      </w:r>
      <w:proofErr w:type="spellEnd"/>
      <w:r w:rsidRPr="00CC4EAB">
        <w:t xml:space="preserve"> is en dat de bediening vergelijkbaar is met die van een bromfiets. </w:t>
      </w:r>
      <w:r w:rsidR="000D0702" w:rsidRPr="000D0702">
        <w:t xml:space="preserve">TNO stelt ook vast dat de tekortkomingen van de oude </w:t>
      </w:r>
      <w:r w:rsidR="00832EE0">
        <w:t>Stint</w:t>
      </w:r>
      <w:r w:rsidR="000D0702" w:rsidRPr="000D0702">
        <w:t xml:space="preserve"> zoals beschreven in de technische analyse van de oude </w:t>
      </w:r>
      <w:r w:rsidR="00832EE0">
        <w:t>Stint</w:t>
      </w:r>
      <w:r w:rsidR="00D93576">
        <w:t>,</w:t>
      </w:r>
      <w:r w:rsidR="000D0702" w:rsidRPr="000D0702">
        <w:t xml:space="preserve"> in de vernieuwde </w:t>
      </w:r>
      <w:r w:rsidR="00832EE0">
        <w:t>BSO-bus</w:t>
      </w:r>
      <w:r w:rsidR="000D0702" w:rsidRPr="000D0702">
        <w:t xml:space="preserve"> aantoonbaar zijn opgelost.</w:t>
      </w:r>
      <w:r w:rsidR="000D0702">
        <w:t xml:space="preserve"> </w:t>
      </w:r>
      <w:r w:rsidRPr="00CC4EAB">
        <w:t>Daarnaast stelt TNO</w:t>
      </w:r>
      <w:r w:rsidR="00832EE0">
        <w:t xml:space="preserve"> dat de passieve veiligheid van de BSO-bus laag is. </w:t>
      </w:r>
      <w:r w:rsidR="00832EE0" w:rsidRPr="00832EE0">
        <w:rPr>
          <w:rFonts w:ascii="Arial" w:hAnsi="Arial" w:cs="Arial"/>
          <w:i/>
          <w:sz w:val="20"/>
          <w:szCs w:val="20"/>
        </w:rPr>
        <w:t xml:space="preserve"> </w:t>
      </w:r>
      <w:r w:rsidR="00832EE0" w:rsidRPr="00EB07DD">
        <w:t>Verkeersveiligheid kan alleen geborgd worden door het kiezen van veilige routes, zoveel mogelijk gescheiden van snelverkeer zodat de kans op een botsing met snelverkeer wordt geminimaliseerd.</w:t>
      </w:r>
    </w:p>
    <w:p w14:paraId="51CD362D" w14:textId="77777777" w:rsidR="00F565B6" w:rsidRDefault="00F565B6"/>
    <w:p w14:paraId="48A44EC3" w14:textId="7912F99E" w:rsidR="00CC2B76" w:rsidRDefault="009A1CC8">
      <w:r>
        <w:t xml:space="preserve">Het TNO-rapport is aan de SWOV aangeboden voor </w:t>
      </w:r>
      <w:r w:rsidR="000D0702">
        <w:t>een second opinion (</w:t>
      </w:r>
      <w:r>
        <w:t>aanvullend advies</w:t>
      </w:r>
      <w:r w:rsidR="000D0702">
        <w:t>)</w:t>
      </w:r>
      <w:r w:rsidR="00D93576">
        <w:t xml:space="preserve">. De bevindingen van de SWOV zijn gedeeld met de fabrikant waarop </w:t>
      </w:r>
      <w:r w:rsidR="00296DF4">
        <w:t xml:space="preserve">de fabrikant </w:t>
      </w:r>
      <w:r w:rsidR="00D93576">
        <w:t>een aangepast TNO</w:t>
      </w:r>
      <w:r w:rsidR="00296DF4">
        <w:t>-rapport heeft</w:t>
      </w:r>
      <w:r w:rsidR="00D93576">
        <w:t xml:space="preserve"> aangeboden. Dit aangepaste rapport is eveneens </w:t>
      </w:r>
      <w:r w:rsidR="00D93576" w:rsidRPr="00D93576">
        <w:t>aan de SWOV aangeboden voor een second opinion (aanvullend advies)</w:t>
      </w:r>
      <w:r w:rsidR="00D93576">
        <w:t xml:space="preserve">. </w:t>
      </w:r>
      <w:r w:rsidR="000D0702">
        <w:t xml:space="preserve">Naar </w:t>
      </w:r>
      <w:r w:rsidR="00F93536">
        <w:t>aanlei</w:t>
      </w:r>
      <w:r w:rsidR="000D0702">
        <w:t xml:space="preserve">ding van </w:t>
      </w:r>
      <w:r w:rsidR="00D93576">
        <w:t xml:space="preserve">deze </w:t>
      </w:r>
      <w:r w:rsidR="00F93536">
        <w:t>beoordeling</w:t>
      </w:r>
      <w:r w:rsidR="000D0702">
        <w:t xml:space="preserve"> van de SWOV</w:t>
      </w:r>
      <w:r w:rsidR="00F93536">
        <w:t>,</w:t>
      </w:r>
      <w:r w:rsidR="000D0702">
        <w:t xml:space="preserve"> heb ik uw Kamer op 16 juli </w:t>
      </w:r>
      <w:r w:rsidR="00D93576">
        <w:t>geïnformeerd</w:t>
      </w:r>
      <w:r w:rsidR="000D0702">
        <w:t xml:space="preserve"> dat de SWOV</w:t>
      </w:r>
      <w:r w:rsidR="007F06FB">
        <w:t xml:space="preserve"> </w:t>
      </w:r>
      <w:r w:rsidR="00CC2B76">
        <w:t xml:space="preserve">de ruimte </w:t>
      </w:r>
      <w:r w:rsidR="00CC2B76" w:rsidRPr="00CC2B76">
        <w:t xml:space="preserve">krijgt </w:t>
      </w:r>
      <w:r w:rsidR="00F93536">
        <w:t>om de</w:t>
      </w:r>
      <w:r w:rsidR="00CC2B76">
        <w:t xml:space="preserve"> methodiek die</w:t>
      </w:r>
      <w:r w:rsidR="000D0702">
        <w:t xml:space="preserve"> werd ontwikkeld</w:t>
      </w:r>
      <w:r w:rsidR="00CC2B76">
        <w:t xml:space="preserve">, </w:t>
      </w:r>
      <w:r w:rsidR="00CC2B76" w:rsidRPr="00CC2B76">
        <w:t>te finaliseren zodat zij een betrouwbare risico-inventarisatie kan uitbrengen over de veiligheid van een te beoordelen voertuig.</w:t>
      </w:r>
    </w:p>
    <w:p w14:paraId="626E76B0" w14:textId="77777777" w:rsidR="0013668D" w:rsidRDefault="0013668D"/>
    <w:p w14:paraId="42CC34B3" w14:textId="336DA71C" w:rsidR="009D7715" w:rsidRPr="00CC4EAB" w:rsidRDefault="00296DF4">
      <w:pPr>
        <w:rPr>
          <w:i/>
        </w:rPr>
      </w:pPr>
      <w:r>
        <w:rPr>
          <w:i/>
        </w:rPr>
        <w:t>Uitkomsten risico-</w:t>
      </w:r>
      <w:r w:rsidR="009D7715">
        <w:rPr>
          <w:i/>
        </w:rPr>
        <w:t xml:space="preserve">inventarisatie door </w:t>
      </w:r>
      <w:r w:rsidR="00832EE0">
        <w:rPr>
          <w:i/>
        </w:rPr>
        <w:t xml:space="preserve">de </w:t>
      </w:r>
      <w:r w:rsidR="009D7715">
        <w:rPr>
          <w:i/>
        </w:rPr>
        <w:t>SWOV</w:t>
      </w:r>
    </w:p>
    <w:p w14:paraId="2F0E8D0C" w14:textId="3B03C0D3" w:rsidR="007E6377" w:rsidRDefault="0055260A" w:rsidP="00CC4EAB">
      <w:pPr>
        <w:rPr>
          <w:color w:val="auto"/>
        </w:rPr>
      </w:pPr>
      <w:r>
        <w:t xml:space="preserve">De uitkomsten van deze inventarisatie zijn op 1 oktober </w:t>
      </w:r>
      <w:r w:rsidR="006E2D0E">
        <w:t xml:space="preserve">jl. </w:t>
      </w:r>
      <w:r>
        <w:t xml:space="preserve">aan het ministerie aangeboden. </w:t>
      </w:r>
      <w:r w:rsidR="00132FA2">
        <w:t xml:space="preserve">Ik stuur u hierbij de </w:t>
      </w:r>
      <w:r w:rsidR="00CC2B76">
        <w:t>risico-</w:t>
      </w:r>
      <w:r w:rsidR="00132FA2">
        <w:t>inventarisatie</w:t>
      </w:r>
      <w:r w:rsidR="00CC2B76">
        <w:t xml:space="preserve"> van de </w:t>
      </w:r>
      <w:r w:rsidR="00832EE0">
        <w:t>BSO</w:t>
      </w:r>
      <w:r w:rsidR="00CC2B76">
        <w:t>-bus toe, alsook een algemene beschrijving van de gebruikte methodiek en een begeleidend schrijven.</w:t>
      </w:r>
      <w:r w:rsidR="00132FA2">
        <w:t xml:space="preserve"> </w:t>
      </w:r>
      <w:r w:rsidR="00CC2B76" w:rsidRPr="00CC4EAB">
        <w:t xml:space="preserve">De SWOV </w:t>
      </w:r>
      <w:r w:rsidR="00EF68CB" w:rsidRPr="00CC4EAB">
        <w:t xml:space="preserve">constateert </w:t>
      </w:r>
      <w:r w:rsidR="00800315" w:rsidRPr="00CC4EAB">
        <w:t>het volgende</w:t>
      </w:r>
      <w:r w:rsidR="003A39E1" w:rsidRPr="00CC4EAB">
        <w:t>:</w:t>
      </w:r>
      <w:r w:rsidR="00E81955" w:rsidRPr="009D7715">
        <w:rPr>
          <w:color w:val="auto"/>
        </w:rPr>
        <w:t xml:space="preserve"> </w:t>
      </w:r>
    </w:p>
    <w:p w14:paraId="5C45CCEA" w14:textId="77777777" w:rsidR="007E6377" w:rsidRDefault="007E6377" w:rsidP="00CC4EAB">
      <w:pPr>
        <w:rPr>
          <w:color w:val="auto"/>
        </w:rPr>
      </w:pPr>
    </w:p>
    <w:p w14:paraId="7CD318C0" w14:textId="6CF48086" w:rsidR="006E2D0E" w:rsidRDefault="00800315" w:rsidP="00CC4EAB">
      <w:pPr>
        <w:rPr>
          <w:i/>
          <w:color w:val="auto"/>
        </w:rPr>
      </w:pPr>
      <w:r w:rsidRPr="00CC4EAB">
        <w:rPr>
          <w:rFonts w:cs="Calibri"/>
          <w:i/>
          <w:color w:val="auto"/>
        </w:rPr>
        <w:t>“</w:t>
      </w:r>
      <w:r w:rsidR="003A39E1" w:rsidRPr="00CC4EAB">
        <w:rPr>
          <w:rFonts w:cs="Calibri"/>
          <w:i/>
          <w:color w:val="auto"/>
        </w:rPr>
        <w:t xml:space="preserve">Op basis van de uitgevoerde risico-inventarisatie van de </w:t>
      </w:r>
      <w:r w:rsidR="00832EE0">
        <w:rPr>
          <w:rFonts w:cs="Calibri"/>
          <w:i/>
          <w:color w:val="auto"/>
        </w:rPr>
        <w:t>BSO</w:t>
      </w:r>
      <w:r w:rsidR="003A39E1" w:rsidRPr="00CC4EAB">
        <w:rPr>
          <w:rFonts w:cs="Calibri"/>
          <w:i/>
          <w:color w:val="auto"/>
        </w:rPr>
        <w:t xml:space="preserve">-bus zijn door de experts verscheidene risico’s geconstateerd waarvan zowel de ‘kans’ op het ongeval als het ‘gevolg’ ervan is ingeschat als ‘middelgroot’ of ‘groot’. Deze risico’s hebben betrekking op: de plaats en bescherming van de bestuurder, de belasting van het voertuig, de taakbelasting van de bestuurder, de afmetingen en massa van het voertuig, en de inzittendenbescherming. </w:t>
      </w:r>
      <w:r w:rsidR="003A39E1" w:rsidRPr="003A39E1">
        <w:rPr>
          <w:i/>
          <w:color w:val="auto"/>
        </w:rPr>
        <w:t xml:space="preserve">Er zijn minstens evenveel risico’s geïdentificeerd waarvan de ernst van de mogelijke gevolgen als ‘groot’ is ingeschat door de experts. Bij bijna al deze risico’s is de ingeschatte letselernst zo groot vanwege de kwetsbaarheid van de inzittenden. Door het grotendeels ontbreken van een beschermende schil kunnen zeer ernstige en zelfs dodelijke verwondingen optreden indien de geschetste risicovolle situaties tot een ongeval leiden. </w:t>
      </w:r>
      <w:r w:rsidRPr="00CC4EAB">
        <w:rPr>
          <w:i/>
          <w:color w:val="auto"/>
        </w:rPr>
        <w:t>We benadrukken dat de lijst met risico’s niet uitputtend is: nieuwe en onvoorziene ontwikkelingen of gedragsreacties kunn</w:t>
      </w:r>
      <w:r w:rsidR="00E81955">
        <w:rPr>
          <w:i/>
          <w:color w:val="auto"/>
        </w:rPr>
        <w:t xml:space="preserve">en leiden tot nieuwe risico’s. </w:t>
      </w:r>
      <w:r w:rsidRPr="00CC4EAB">
        <w:rPr>
          <w:i/>
          <w:color w:val="auto"/>
        </w:rPr>
        <w:t>Het rapport bevat géén advies over het wel of niet toelaten van het voertuig. Wel geeft dit rapport een overzicht van risico’s waarmee rekening moet worden geho</w:t>
      </w:r>
      <w:r w:rsidR="000D0702">
        <w:rPr>
          <w:i/>
          <w:color w:val="auto"/>
        </w:rPr>
        <w:t xml:space="preserve">uden bij de beslissing om de </w:t>
      </w:r>
      <w:r w:rsidR="00832EE0">
        <w:rPr>
          <w:i/>
          <w:color w:val="auto"/>
        </w:rPr>
        <w:t>BSO</w:t>
      </w:r>
      <w:r w:rsidRPr="00CC4EAB">
        <w:rPr>
          <w:i/>
          <w:color w:val="auto"/>
        </w:rPr>
        <w:t>-bus al dan niet op de openbare weg toe te laten. Overigens geldt dat sommige risico’s inherent zijn aan verkeersdeelname en nooit alle risico’s geheel weggenomen kunnen worden.</w:t>
      </w:r>
      <w:r>
        <w:rPr>
          <w:i/>
          <w:color w:val="auto"/>
        </w:rPr>
        <w:t>’’</w:t>
      </w:r>
    </w:p>
    <w:p w14:paraId="49698598" w14:textId="77777777" w:rsidR="009D7715" w:rsidRDefault="009D7715" w:rsidP="00800315">
      <w:pPr>
        <w:pStyle w:val="Default"/>
        <w:rPr>
          <w:rFonts w:ascii="Verdana" w:hAnsi="Verdana"/>
          <w:i/>
          <w:color w:val="auto"/>
          <w:sz w:val="18"/>
          <w:szCs w:val="18"/>
        </w:rPr>
      </w:pPr>
    </w:p>
    <w:p w14:paraId="6715E4CA" w14:textId="77777777" w:rsidR="00C87A21" w:rsidRDefault="00EB07DD" w:rsidP="00800315">
      <w:pPr>
        <w:pStyle w:val="Default"/>
        <w:rPr>
          <w:rFonts w:ascii="Verdana" w:hAnsi="Verdana"/>
          <w:i/>
          <w:color w:val="auto"/>
          <w:sz w:val="18"/>
          <w:szCs w:val="18"/>
        </w:rPr>
      </w:pPr>
      <w:r>
        <w:rPr>
          <w:rFonts w:ascii="Verdana" w:hAnsi="Verdana"/>
          <w:i/>
          <w:color w:val="auto"/>
          <w:sz w:val="18"/>
          <w:szCs w:val="18"/>
        </w:rPr>
        <w:br/>
      </w:r>
    </w:p>
    <w:p w14:paraId="19F11470" w14:textId="77777777" w:rsidR="00C87A21" w:rsidRDefault="00C87A21">
      <w:pPr>
        <w:spacing w:line="240" w:lineRule="auto"/>
        <w:rPr>
          <w:rFonts w:cs="Calibri"/>
          <w:i/>
          <w:color w:val="auto"/>
        </w:rPr>
      </w:pPr>
      <w:r>
        <w:rPr>
          <w:i/>
          <w:color w:val="auto"/>
        </w:rPr>
        <w:br w:type="page"/>
      </w:r>
    </w:p>
    <w:p w14:paraId="7036FE32" w14:textId="4DF70E6C" w:rsidR="00800315" w:rsidRPr="00CC4EAB" w:rsidRDefault="00F93536" w:rsidP="00800315">
      <w:pPr>
        <w:pStyle w:val="Default"/>
        <w:rPr>
          <w:rFonts w:ascii="Verdana" w:hAnsi="Verdana"/>
          <w:i/>
          <w:color w:val="auto"/>
          <w:sz w:val="18"/>
          <w:szCs w:val="18"/>
        </w:rPr>
      </w:pPr>
      <w:r>
        <w:rPr>
          <w:rFonts w:ascii="Verdana" w:hAnsi="Verdana"/>
          <w:i/>
          <w:color w:val="auto"/>
          <w:sz w:val="18"/>
          <w:szCs w:val="18"/>
        </w:rPr>
        <w:lastRenderedPageBreak/>
        <w:t>Conclusie n.a.v. de informatie van de experts</w:t>
      </w:r>
    </w:p>
    <w:p w14:paraId="552DEC1C" w14:textId="40059C04" w:rsidR="00AF21AE" w:rsidRPr="00CC4EAB" w:rsidRDefault="000D5C4C" w:rsidP="00CC4EAB">
      <w:r>
        <w:t xml:space="preserve">In reactie op de aanbevelingen van de </w:t>
      </w:r>
      <w:proofErr w:type="spellStart"/>
      <w:r>
        <w:t>Onderzoeksraad</w:t>
      </w:r>
      <w:proofErr w:type="spellEnd"/>
      <w:r>
        <w:t xml:space="preserve"> voor Veiligheid heb ik uw Kamer gemeld dat de</w:t>
      </w:r>
      <w:r w:rsidRPr="000D5C4C">
        <w:t xml:space="preserve"> ontvangen adviezen van de RDW en SWOV bindend </w:t>
      </w:r>
      <w:r>
        <w:t xml:space="preserve">zijn </w:t>
      </w:r>
      <w:r w:rsidRPr="000D5C4C">
        <w:t>voor de besluitvorming</w:t>
      </w:r>
      <w:r>
        <w:t xml:space="preserve"> totdat er een onafhankelijke keuringsinstantie is ingericht.</w:t>
      </w:r>
      <w:r w:rsidRPr="000D5C4C">
        <w:rPr>
          <w:vertAlign w:val="superscript"/>
        </w:rPr>
        <w:footnoteReference w:id="6"/>
      </w:r>
      <w:r w:rsidRPr="000D5C4C">
        <w:t xml:space="preserve"> </w:t>
      </w:r>
      <w:r w:rsidR="00D46B1B" w:rsidRPr="00CC4EAB">
        <w:t>De</w:t>
      </w:r>
      <w:r w:rsidR="00F93536" w:rsidRPr="00CC4EAB">
        <w:t xml:space="preserve"> RDW heeft een positief advies uitgebracht over de technische veiligheid van de </w:t>
      </w:r>
      <w:r w:rsidR="00832EE0">
        <w:t>BSO</w:t>
      </w:r>
      <w:r w:rsidR="00F93536" w:rsidRPr="00CC4EAB">
        <w:t>-bus.</w:t>
      </w:r>
      <w:r w:rsidR="000D0702">
        <w:t xml:space="preserve"> Ook TNO komt tot positieve conclusies hierover.</w:t>
      </w:r>
      <w:r w:rsidR="00F93536" w:rsidRPr="00CC4EAB">
        <w:t xml:space="preserve"> De risico-inventarisatie </w:t>
      </w:r>
      <w:r w:rsidR="007F06FB">
        <w:t xml:space="preserve">van </w:t>
      </w:r>
      <w:r w:rsidR="005D561B">
        <w:t xml:space="preserve">de </w:t>
      </w:r>
      <w:r w:rsidR="007F06FB">
        <w:t xml:space="preserve">SWOV </w:t>
      </w:r>
      <w:r w:rsidR="00F93536" w:rsidRPr="00CC4EAB">
        <w:t xml:space="preserve">geeft een overzicht van de geïdentificeerde risico’s waarmee bij de beslissing om de </w:t>
      </w:r>
      <w:r w:rsidR="00832EE0">
        <w:t>BSO</w:t>
      </w:r>
      <w:r w:rsidR="00F93536" w:rsidRPr="00CC4EAB">
        <w:t>-bus al dan niet op de weg toe te laten rekening moet worden</w:t>
      </w:r>
      <w:r w:rsidR="00FB7BBB">
        <w:t xml:space="preserve"> gehouden. </w:t>
      </w:r>
      <w:r w:rsidR="00A30184">
        <w:t>Zoals de SWOV schrijft bevat</w:t>
      </w:r>
      <w:r w:rsidR="00FB7BBB">
        <w:t xml:space="preserve"> </w:t>
      </w:r>
      <w:r w:rsidR="00A30184">
        <w:t xml:space="preserve">het </w:t>
      </w:r>
      <w:r w:rsidR="00FB7BBB">
        <w:t>rapport gee</w:t>
      </w:r>
      <w:r w:rsidR="00F93536" w:rsidRPr="00CC4EAB">
        <w:t>n advies over het wel of niet toelaten v</w:t>
      </w:r>
      <w:r w:rsidR="00D46B1B" w:rsidRPr="00CC4EAB">
        <w:t>an het voertuig</w:t>
      </w:r>
      <w:r w:rsidR="003E5D39">
        <w:t xml:space="preserve"> en kunnen</w:t>
      </w:r>
      <w:r w:rsidR="003E5D39" w:rsidRPr="003E5D39">
        <w:rPr>
          <w:rFonts w:ascii="Calibri" w:hAnsi="Calibri" w:cs="Calibri"/>
          <w:color w:val="272A65"/>
          <w:sz w:val="20"/>
          <w:szCs w:val="20"/>
        </w:rPr>
        <w:t xml:space="preserve"> </w:t>
      </w:r>
      <w:r w:rsidR="003E5D39">
        <w:t>de uitkomsten meegewogen worden bij een</w:t>
      </w:r>
      <w:r w:rsidR="003E5D39" w:rsidRPr="003E5D39">
        <w:t xml:space="preserve"> beslissing om een LEV al dan niet toe te laten tot de weg</w:t>
      </w:r>
      <w:r w:rsidR="00A30184">
        <w:t>.</w:t>
      </w:r>
      <w:r w:rsidR="00E50227">
        <w:t xml:space="preserve"> Dat betekent dat</w:t>
      </w:r>
      <w:r w:rsidR="00E50227" w:rsidRPr="00E50227">
        <w:t xml:space="preserve"> </w:t>
      </w:r>
      <w:r w:rsidR="00760A7A">
        <w:t>er</w:t>
      </w:r>
      <w:r w:rsidR="00E50227" w:rsidRPr="00E50227">
        <w:t xml:space="preserve"> geen twee bindende adviezen liggen</w:t>
      </w:r>
      <w:r w:rsidR="00E50227">
        <w:t xml:space="preserve"> terwijl er bes</w:t>
      </w:r>
      <w:r w:rsidR="00B37FB8">
        <w:t xml:space="preserve">luitvorming moet plaatsvinden. </w:t>
      </w:r>
      <w:r w:rsidR="00E50227">
        <w:t>Om die reden stel</w:t>
      </w:r>
      <w:r>
        <w:t xml:space="preserve"> ik uw Kamer</w:t>
      </w:r>
      <w:r w:rsidR="00E50227">
        <w:t xml:space="preserve"> in kennis</w:t>
      </w:r>
      <w:r>
        <w:t xml:space="preserve"> over de wijze waarop ik tot het voornemen ben gekomen om de Stint-bus aan te wijzen en over de wijze waarop</w:t>
      </w:r>
      <w:r w:rsidR="00E50227">
        <w:t xml:space="preserve"> in de toekomst</w:t>
      </w:r>
      <w:r>
        <w:t xml:space="preserve"> invulling wordt gegeven </w:t>
      </w:r>
      <w:r w:rsidR="00E50227">
        <w:t>aan een volledig</w:t>
      </w:r>
      <w:r>
        <w:t xml:space="preserve"> onafhankelijk</w:t>
      </w:r>
      <w:r w:rsidR="00E50227">
        <w:t>e</w:t>
      </w:r>
      <w:r>
        <w:t xml:space="preserve"> </w:t>
      </w:r>
      <w:r w:rsidR="00E50227">
        <w:t>beoordeling</w:t>
      </w:r>
      <w:r w:rsidR="00B37FB8">
        <w:t>.</w:t>
      </w:r>
    </w:p>
    <w:p w14:paraId="4910D80E" w14:textId="77777777" w:rsidR="00D6217F" w:rsidRDefault="00D6217F" w:rsidP="00CC4EAB"/>
    <w:p w14:paraId="5EC974BB" w14:textId="0AEF4606" w:rsidR="00F93536" w:rsidRPr="00CC4EAB" w:rsidRDefault="00F93536" w:rsidP="00CC4EAB">
      <w:r w:rsidRPr="00CC4EAB">
        <w:t>I</w:t>
      </w:r>
      <w:r w:rsidR="00D46B1B" w:rsidRPr="00CC4EAB">
        <w:t>n het</w:t>
      </w:r>
      <w:r w:rsidRPr="00CC4EAB">
        <w:t xml:space="preserve"> LEV-kader</w:t>
      </w:r>
      <w:r w:rsidR="00D46B1B" w:rsidRPr="00CC4EAB">
        <w:t xml:space="preserve"> dat wordt ontwikkeld</w:t>
      </w:r>
      <w:r w:rsidRPr="00CC4EAB">
        <w:t xml:space="preserve">, </w:t>
      </w:r>
      <w:r w:rsidR="00D46B1B" w:rsidRPr="00CC4EAB">
        <w:t xml:space="preserve">over </w:t>
      </w:r>
      <w:r w:rsidR="00C23047">
        <w:t xml:space="preserve">de voortgang waarvan </w:t>
      </w:r>
      <w:r w:rsidR="00D46B1B" w:rsidRPr="00CC4EAB">
        <w:t>ik Uw Kamer onlangs heb geïnformeerd</w:t>
      </w:r>
      <w:r w:rsidR="004C54AF">
        <w:t>,</w:t>
      </w:r>
      <w:r w:rsidRPr="00FB7BBB">
        <w:rPr>
          <w:rStyle w:val="Voetnootmarkering"/>
        </w:rPr>
        <w:footnoteReference w:id="7"/>
      </w:r>
      <w:r w:rsidR="000E544F">
        <w:rPr>
          <w:rStyle w:val="Voetnootmarkering"/>
        </w:rPr>
        <w:t xml:space="preserve"> </w:t>
      </w:r>
      <w:r w:rsidRPr="00CC4EAB">
        <w:t>is de RDW de beoogde onafhankelijke keuringsinstantie</w:t>
      </w:r>
      <w:r w:rsidR="00D46B1B" w:rsidRPr="00CC4EAB">
        <w:t>. Zoals uw Kamer is gemeld</w:t>
      </w:r>
      <w:r w:rsidR="000D0702">
        <w:t>,</w:t>
      </w:r>
      <w:r w:rsidR="00D46B1B" w:rsidRPr="00CC4EAB">
        <w:t xml:space="preserve"> is daarvoor een wetswijziging nodig. Dat betekent dat een langer proces doorlopen moet worden om de RDW als onafhankelijke keuringsinstantie in te stellen.</w:t>
      </w:r>
      <w:r w:rsidR="00D46B1B" w:rsidRPr="00D46B1B">
        <w:t xml:space="preserve"> Daarom wil ik kijken hoe in de toekomst toch kan worden geborgd dat een integrale risicobeoordeling plaatsvindt, zonder d</w:t>
      </w:r>
      <w:r w:rsidR="000D0702">
        <w:t xml:space="preserve">at </w:t>
      </w:r>
      <w:r w:rsidR="007E6377">
        <w:t>ik</w:t>
      </w:r>
      <w:r w:rsidR="000D0702">
        <w:t xml:space="preserve"> daarover </w:t>
      </w:r>
      <w:r w:rsidR="00D46B1B" w:rsidRPr="00D46B1B">
        <w:t>afwegingen moet maken</w:t>
      </w:r>
      <w:r w:rsidR="00D46B1B" w:rsidRPr="00AF21AE">
        <w:t>.</w:t>
      </w:r>
      <w:r w:rsidR="00FB7BBB" w:rsidRPr="00AF21AE">
        <w:t xml:space="preserve"> </w:t>
      </w:r>
      <w:r w:rsidR="00D46B1B" w:rsidRPr="00AF21AE">
        <w:t>Een oplossing</w:t>
      </w:r>
      <w:r w:rsidR="00BB581F" w:rsidRPr="00AF21AE">
        <w:t xml:space="preserve"> die </w:t>
      </w:r>
      <w:r w:rsidR="00D6217F">
        <w:t>is</w:t>
      </w:r>
      <w:r w:rsidR="00BB581F" w:rsidRPr="00AF21AE">
        <w:t xml:space="preserve"> besproken met</w:t>
      </w:r>
      <w:r w:rsidR="00246C91" w:rsidRPr="00AF21AE">
        <w:t xml:space="preserve"> de RDW en de SWOV</w:t>
      </w:r>
      <w:r w:rsidR="00600D90">
        <w:t>,</w:t>
      </w:r>
      <w:r w:rsidR="00D46B1B">
        <w:t xml:space="preserve"> is om</w:t>
      </w:r>
      <w:r w:rsidR="00D46B1B" w:rsidRPr="00CC4EAB">
        <w:t xml:space="preserve"> </w:t>
      </w:r>
      <w:r w:rsidR="00D46B1B">
        <w:t>tot die tijd</w:t>
      </w:r>
      <w:r w:rsidRPr="00CC4EAB">
        <w:t xml:space="preserve"> de </w:t>
      </w:r>
      <w:r w:rsidR="00A30184">
        <w:t xml:space="preserve">algemene </w:t>
      </w:r>
      <w:r w:rsidRPr="00CC4EAB">
        <w:t xml:space="preserve">risico-inventarisatie van de SWOV onderdeel </w:t>
      </w:r>
      <w:r w:rsidR="00943EAB">
        <w:t>te maken</w:t>
      </w:r>
      <w:r w:rsidRPr="00CC4EAB">
        <w:t xml:space="preserve"> van de informatie die </w:t>
      </w:r>
      <w:r w:rsidR="00FD49BC">
        <w:t xml:space="preserve">de </w:t>
      </w:r>
      <w:r w:rsidRPr="00CC4EAB">
        <w:t xml:space="preserve">RDW meeneemt in </w:t>
      </w:r>
      <w:r w:rsidR="007E6377">
        <w:t>zijn</w:t>
      </w:r>
      <w:r w:rsidRPr="00CC4EAB">
        <w:t xml:space="preserve"> beoordeling. Op die manier kan de RDW ook meteen kijken naar de risico</w:t>
      </w:r>
      <w:r w:rsidR="00A30184">
        <w:t>’</w:t>
      </w:r>
      <w:r w:rsidRPr="00CC4EAB">
        <w:t xml:space="preserve">s </w:t>
      </w:r>
      <w:r w:rsidRPr="00AF21AE">
        <w:t>die</w:t>
      </w:r>
      <w:r w:rsidR="00A30184" w:rsidRPr="00AF21AE">
        <w:t xml:space="preserve"> </w:t>
      </w:r>
      <w:r w:rsidR="002C4AD9" w:rsidRPr="00AF21AE">
        <w:t xml:space="preserve">op basis </w:t>
      </w:r>
      <w:r w:rsidR="00BD4A5F" w:rsidRPr="00AF21AE">
        <w:t xml:space="preserve">daarvan </w:t>
      </w:r>
      <w:r w:rsidR="00A30184">
        <w:t xml:space="preserve">worden </w:t>
      </w:r>
      <w:r w:rsidR="00FD49BC">
        <w:t>gesignaleerd</w:t>
      </w:r>
      <w:r w:rsidRPr="00CC4EAB">
        <w:t>.</w:t>
      </w:r>
      <w:r w:rsidR="00D6217F">
        <w:t xml:space="preserve"> </w:t>
      </w:r>
      <w:r w:rsidRPr="00CC4EAB">
        <w:t>Dat heb ik nu ook gevraagd aan de RDW</w:t>
      </w:r>
      <w:r w:rsidR="00D6217F">
        <w:t xml:space="preserve"> en de uitkomst daarvan treft u in bijlage</w:t>
      </w:r>
      <w:r w:rsidRPr="00CC4EAB">
        <w:t xml:space="preserve">. De RDW </w:t>
      </w:r>
      <w:r w:rsidR="00943EAB">
        <w:t xml:space="preserve">herkent </w:t>
      </w:r>
      <w:r w:rsidR="00943EAB" w:rsidRPr="00CC4EAB">
        <w:t xml:space="preserve">de </w:t>
      </w:r>
      <w:r w:rsidRPr="00CC4EAB">
        <w:t>risi</w:t>
      </w:r>
      <w:r w:rsidR="00943EAB" w:rsidRPr="00CC4EAB">
        <w:t>co’s die de SWOV identificeert.</w:t>
      </w:r>
      <w:r w:rsidR="00943EAB">
        <w:t xml:space="preserve"> </w:t>
      </w:r>
      <w:r w:rsidR="00943EAB" w:rsidRPr="00943EAB">
        <w:t>Aan deze risico</w:t>
      </w:r>
      <w:r w:rsidR="00943EAB">
        <w:t>’</w:t>
      </w:r>
      <w:r w:rsidR="00943EAB" w:rsidRPr="00943EAB">
        <w:t>s is</w:t>
      </w:r>
      <w:r w:rsidR="00943EAB">
        <w:t xml:space="preserve"> volgens de RDW</w:t>
      </w:r>
      <w:r w:rsidR="00943EAB" w:rsidRPr="00943EAB">
        <w:t xml:space="preserve"> extra</w:t>
      </w:r>
      <w:r w:rsidR="007F06FB">
        <w:t xml:space="preserve"> </w:t>
      </w:r>
      <w:r w:rsidR="00943EAB" w:rsidRPr="00943EAB">
        <w:t>aandacht besteed bij het testen van het voertuig destijds.</w:t>
      </w:r>
      <w:r w:rsidR="00943EAB">
        <w:t xml:space="preserve"> De RDW concludeert dat de uitkomsten van de risico-inventarisatie </w:t>
      </w:r>
      <w:r w:rsidR="007F06FB">
        <w:t xml:space="preserve">van de SWOV </w:t>
      </w:r>
      <w:r w:rsidR="00943EAB">
        <w:t xml:space="preserve">het positieve advies van de RDW niet wijzigen. Daarnaast merkt de SWOV op dat </w:t>
      </w:r>
      <w:r w:rsidR="00943EAB" w:rsidRPr="00943EAB">
        <w:t xml:space="preserve">sommige risico’s inherent zijn aan verkeersdeelname en nooit alle risico’s </w:t>
      </w:r>
      <w:r w:rsidR="00943EAB">
        <w:t>geheel weggenomen kunnen worden</w:t>
      </w:r>
      <w:r w:rsidR="00943EAB" w:rsidRPr="00943EAB">
        <w:t xml:space="preserve">. </w:t>
      </w:r>
      <w:r w:rsidR="00943EAB">
        <w:t>D</w:t>
      </w:r>
      <w:r w:rsidR="00943EAB" w:rsidRPr="00943EAB">
        <w:t>e kans op een aanrijding</w:t>
      </w:r>
      <w:r w:rsidR="00943EAB">
        <w:t xml:space="preserve"> op</w:t>
      </w:r>
      <w:r w:rsidR="00943EAB" w:rsidRPr="00943EAB">
        <w:t xml:space="preserve"> kruisingen </w:t>
      </w:r>
      <w:r w:rsidR="00943EAB">
        <w:t xml:space="preserve">en </w:t>
      </w:r>
      <w:r w:rsidR="00943EAB" w:rsidRPr="00943EAB">
        <w:t xml:space="preserve">kruispunten (oversteekplaatsen) en op wegen met een limiet van 50 km/uur en hoger </w:t>
      </w:r>
      <w:r w:rsidR="00943EAB">
        <w:t xml:space="preserve">is een kenmerk van het </w:t>
      </w:r>
      <w:r w:rsidR="00943EAB" w:rsidRPr="00943EAB">
        <w:t>huidige, nog niet volledig duurzaam veilig ingerichte wegverkeer. Het risico is</w:t>
      </w:r>
      <w:r w:rsidR="00296DF4">
        <w:t xml:space="preserve"> dus, volgens</w:t>
      </w:r>
      <w:r w:rsidR="00943EAB">
        <w:t xml:space="preserve"> de SWOV</w:t>
      </w:r>
      <w:r w:rsidR="00296DF4">
        <w:t>,</w:t>
      </w:r>
      <w:r w:rsidR="00943EAB" w:rsidRPr="00943EAB">
        <w:t xml:space="preserve"> aanwezig voor alle kwetsbare verkeersdeelnemers, ook wanneer zij gebruik maken van nu al op de weg toegelaten voertuigen, zoals – al dan niet elektrisch ondersteunde – fietsen en bakfietsen. </w:t>
      </w:r>
      <w:r w:rsidR="00943EAB">
        <w:t xml:space="preserve">Het is daarnaast evident dat een </w:t>
      </w:r>
      <w:r w:rsidR="00832EE0">
        <w:t>BSO</w:t>
      </w:r>
      <w:r w:rsidR="00943EAB">
        <w:t>-bus, net als andere licht elektrische</w:t>
      </w:r>
      <w:r w:rsidR="00943EAB" w:rsidRPr="00943EAB">
        <w:t xml:space="preserve"> voertuigen, niet de beschermende schil kan bieden aan de bestuurder of inzittenden die een auto of bus wel kan bieden.</w:t>
      </w:r>
    </w:p>
    <w:p w14:paraId="7190172D" w14:textId="77777777" w:rsidR="007E7498" w:rsidRPr="000D0702" w:rsidRDefault="009D7715" w:rsidP="00CC4EAB">
      <w:pPr>
        <w:rPr>
          <w:color w:val="auto"/>
        </w:rPr>
      </w:pPr>
      <w:r w:rsidRPr="000D0702">
        <w:rPr>
          <w:color w:val="auto"/>
        </w:rPr>
        <w:t xml:space="preserve"> </w:t>
      </w:r>
    </w:p>
    <w:p w14:paraId="3FD6131B" w14:textId="492AE6C4" w:rsidR="00943EAB" w:rsidRPr="000D0702" w:rsidRDefault="0018062D" w:rsidP="000D0702">
      <w:r w:rsidRPr="000D0702">
        <w:t xml:space="preserve">Gelet op het </w:t>
      </w:r>
      <w:r w:rsidR="00943EAB" w:rsidRPr="000D0702">
        <w:t xml:space="preserve">bovenstaande </w:t>
      </w:r>
      <w:r w:rsidR="007E7498" w:rsidRPr="000D0702">
        <w:t xml:space="preserve">ben ik </w:t>
      </w:r>
      <w:r w:rsidR="007E6377">
        <w:t xml:space="preserve">gekomen </w:t>
      </w:r>
      <w:r w:rsidR="007E7498" w:rsidRPr="000D0702">
        <w:t xml:space="preserve">tot </w:t>
      </w:r>
      <w:r w:rsidR="007E6377">
        <w:t xml:space="preserve">het voornemen om de </w:t>
      </w:r>
      <w:r w:rsidR="00832EE0">
        <w:t>BSO</w:t>
      </w:r>
      <w:r w:rsidR="007E6377">
        <w:t>-bus aan te wijzen als bijzondere bromfiets</w:t>
      </w:r>
      <w:r w:rsidR="00943EAB" w:rsidRPr="000D0702">
        <w:t xml:space="preserve">. </w:t>
      </w:r>
      <w:r w:rsidR="007E6377">
        <w:t>Daarbij weegt voor mij mee</w:t>
      </w:r>
      <w:r w:rsidR="00943EAB" w:rsidRPr="000D0702">
        <w:t xml:space="preserve"> dat met de kinderopvangsector een convenant is </w:t>
      </w:r>
      <w:r w:rsidR="00296DF4">
        <w:t>gesloten met afspraken</w:t>
      </w:r>
      <w:r w:rsidR="00943EAB" w:rsidRPr="000D0702">
        <w:t xml:space="preserve"> over het veilig gebruik van de </w:t>
      </w:r>
      <w:r w:rsidR="00832EE0">
        <w:t>BSO</w:t>
      </w:r>
      <w:r w:rsidR="00943EAB" w:rsidRPr="000D0702">
        <w:t>-bus. Deze afspraken</w:t>
      </w:r>
      <w:r w:rsidR="00DC2AC5">
        <w:t>, met Uw Kamer gedeeld op 10 juli 2019</w:t>
      </w:r>
      <w:r w:rsidR="00DC2AC5">
        <w:rPr>
          <w:rStyle w:val="Voetnootmarkering"/>
        </w:rPr>
        <w:footnoteReference w:id="8"/>
      </w:r>
      <w:r w:rsidR="00DC2AC5">
        <w:t xml:space="preserve">, </w:t>
      </w:r>
      <w:r w:rsidR="00943EAB" w:rsidRPr="000D0702">
        <w:t xml:space="preserve">zijn dat bestuurders van de </w:t>
      </w:r>
      <w:r w:rsidR="00832EE0">
        <w:t>BSO</w:t>
      </w:r>
      <w:r w:rsidR="002C3B12">
        <w:t>-bus</w:t>
      </w:r>
      <w:r w:rsidR="00943EAB" w:rsidRPr="000D0702">
        <w:t xml:space="preserve"> minstens 18 jaar oud zijn, een rijvaardigheidstraining hebben gevolgd en </w:t>
      </w:r>
      <w:r w:rsidR="002C3B12">
        <w:t xml:space="preserve">dat </w:t>
      </w:r>
      <w:r w:rsidR="00943EAB" w:rsidRPr="000D0702">
        <w:t xml:space="preserve">gebruik </w:t>
      </w:r>
      <w:r w:rsidR="002C3B12">
        <w:t xml:space="preserve">wordt gemaakt </w:t>
      </w:r>
      <w:r w:rsidR="00296DF4">
        <w:t xml:space="preserve">van veilige routes. </w:t>
      </w:r>
      <w:r w:rsidR="00943EAB" w:rsidRPr="000D0702">
        <w:t>De naleving van deze afspraken wordt gemonitord door een onafhankelijke commissie aan de hand van steekproeven.</w:t>
      </w:r>
    </w:p>
    <w:p w14:paraId="12A7D318" w14:textId="77777777" w:rsidR="00943EAB" w:rsidRDefault="00943EAB">
      <w:pPr>
        <w:pStyle w:val="Default"/>
        <w:rPr>
          <w:rFonts w:ascii="Verdana" w:hAnsi="Verdana"/>
          <w:color w:val="auto"/>
          <w:sz w:val="18"/>
          <w:szCs w:val="18"/>
        </w:rPr>
      </w:pPr>
    </w:p>
    <w:p w14:paraId="4B5A02DB" w14:textId="77777777" w:rsidR="00831FA5" w:rsidRDefault="00943EAB">
      <w:pPr>
        <w:pStyle w:val="Default"/>
        <w:rPr>
          <w:rFonts w:ascii="Verdana" w:hAnsi="Verdana"/>
          <w:color w:val="auto"/>
          <w:sz w:val="18"/>
          <w:szCs w:val="18"/>
        </w:rPr>
      </w:pPr>
      <w:r w:rsidRPr="00CC4EAB">
        <w:rPr>
          <w:rFonts w:ascii="Verdana" w:hAnsi="Verdana"/>
          <w:i/>
          <w:color w:val="auto"/>
          <w:sz w:val="18"/>
          <w:szCs w:val="18"/>
        </w:rPr>
        <w:t>Tot slot</w:t>
      </w:r>
    </w:p>
    <w:p w14:paraId="572C5BCE" w14:textId="1E5E97DF" w:rsidR="008E73D3" w:rsidRPr="008E73D3" w:rsidRDefault="00BC3A72">
      <w:pPr>
        <w:rPr>
          <w:color w:val="auto"/>
        </w:rPr>
      </w:pPr>
      <w:r>
        <w:rPr>
          <w:color w:val="auto"/>
        </w:rPr>
        <w:t xml:space="preserve">Ik realiseer me dat </w:t>
      </w:r>
      <w:r w:rsidR="002C3B12">
        <w:rPr>
          <w:color w:val="auto"/>
        </w:rPr>
        <w:t>mijn voornemen</w:t>
      </w:r>
      <w:r>
        <w:rPr>
          <w:color w:val="auto"/>
        </w:rPr>
        <w:t xml:space="preserve"> de nodige emoties kan oproepen. Dat is begrijpelijk gezien de tragische aanleiding. Dat is een extra reden waarom ik </w:t>
      </w:r>
      <w:r w:rsidR="00760A7A">
        <w:rPr>
          <w:color w:val="auto"/>
        </w:rPr>
        <w:t xml:space="preserve">het </w:t>
      </w:r>
      <w:r>
        <w:rPr>
          <w:color w:val="auto"/>
        </w:rPr>
        <w:t xml:space="preserve">belangrijk vind om uw Kamer </w:t>
      </w:r>
      <w:r w:rsidR="00961845">
        <w:rPr>
          <w:color w:val="auto"/>
        </w:rPr>
        <w:t>inzicht te bieden in het proces naar dit voornemen</w:t>
      </w:r>
      <w:r>
        <w:rPr>
          <w:color w:val="auto"/>
        </w:rPr>
        <w:t xml:space="preserve">. Net </w:t>
      </w:r>
      <w:r w:rsidR="000D0702">
        <w:rPr>
          <w:color w:val="auto"/>
        </w:rPr>
        <w:t xml:space="preserve">als de SWOV ben ik me ervan bewust </w:t>
      </w:r>
      <w:r w:rsidR="008E73D3">
        <w:rPr>
          <w:color w:val="auto"/>
        </w:rPr>
        <w:t xml:space="preserve">dat het deelnemen aan het verkeer risico’s met zich meebrengt. </w:t>
      </w:r>
      <w:r w:rsidR="002450E5">
        <w:rPr>
          <w:color w:val="auto"/>
        </w:rPr>
        <w:t xml:space="preserve">Door </w:t>
      </w:r>
      <w:r>
        <w:rPr>
          <w:color w:val="auto"/>
        </w:rPr>
        <w:t xml:space="preserve">ook </w:t>
      </w:r>
      <w:r w:rsidR="002450E5">
        <w:rPr>
          <w:color w:val="auto"/>
        </w:rPr>
        <w:t xml:space="preserve">de generieke </w:t>
      </w:r>
      <w:r w:rsidR="008E73D3">
        <w:rPr>
          <w:color w:val="auto"/>
        </w:rPr>
        <w:t>omstandigheden van verkeersdeelname te verbeteren</w:t>
      </w:r>
      <w:r w:rsidR="002450E5">
        <w:rPr>
          <w:color w:val="auto"/>
        </w:rPr>
        <w:t xml:space="preserve">, zoals </w:t>
      </w:r>
      <w:r w:rsidR="00CC3278">
        <w:rPr>
          <w:color w:val="auto"/>
        </w:rPr>
        <w:t xml:space="preserve">de realisatie van </w:t>
      </w:r>
      <w:r w:rsidR="002450E5">
        <w:rPr>
          <w:color w:val="auto"/>
        </w:rPr>
        <w:t>veiliger infrastructuur</w:t>
      </w:r>
      <w:r w:rsidR="008E73D3">
        <w:rPr>
          <w:color w:val="auto"/>
        </w:rPr>
        <w:t xml:space="preserve">, </w:t>
      </w:r>
      <w:r w:rsidR="002450E5">
        <w:rPr>
          <w:color w:val="auto"/>
        </w:rPr>
        <w:t xml:space="preserve">wordt een </w:t>
      </w:r>
      <w:r w:rsidR="008E73D3">
        <w:rPr>
          <w:color w:val="auto"/>
        </w:rPr>
        <w:t>deel van de inherente risico</w:t>
      </w:r>
      <w:r w:rsidR="002450E5">
        <w:rPr>
          <w:color w:val="auto"/>
        </w:rPr>
        <w:t>’</w:t>
      </w:r>
      <w:r w:rsidR="008E73D3">
        <w:rPr>
          <w:color w:val="auto"/>
        </w:rPr>
        <w:t>s</w:t>
      </w:r>
      <w:r w:rsidR="002450E5">
        <w:rPr>
          <w:color w:val="auto"/>
        </w:rPr>
        <w:t xml:space="preserve"> aan verkeersdeelname</w:t>
      </w:r>
      <w:r w:rsidR="008E73D3">
        <w:rPr>
          <w:color w:val="auto"/>
        </w:rPr>
        <w:t xml:space="preserve"> verminderd.</w:t>
      </w:r>
      <w:r w:rsidR="007E7498">
        <w:rPr>
          <w:color w:val="auto"/>
        </w:rPr>
        <w:t xml:space="preserve"> </w:t>
      </w:r>
      <w:r w:rsidR="003B694D">
        <w:rPr>
          <w:color w:val="auto"/>
        </w:rPr>
        <w:t xml:space="preserve">De SWOV </w:t>
      </w:r>
      <w:r w:rsidR="004C54AF">
        <w:rPr>
          <w:color w:val="auto"/>
        </w:rPr>
        <w:t xml:space="preserve">schrijft in relatie tot het toelaten van </w:t>
      </w:r>
      <w:r w:rsidR="008928BE" w:rsidRPr="008928BE">
        <w:rPr>
          <w:color w:val="auto"/>
        </w:rPr>
        <w:t>licht elektrische voertuigen</w:t>
      </w:r>
      <w:r w:rsidR="008928BE">
        <w:rPr>
          <w:color w:val="auto"/>
        </w:rPr>
        <w:t xml:space="preserve"> (</w:t>
      </w:r>
      <w:proofErr w:type="spellStart"/>
      <w:r w:rsidR="004C54AF">
        <w:rPr>
          <w:color w:val="auto"/>
        </w:rPr>
        <w:t>LEVs</w:t>
      </w:r>
      <w:proofErr w:type="spellEnd"/>
      <w:r w:rsidR="008928BE">
        <w:rPr>
          <w:color w:val="auto"/>
        </w:rPr>
        <w:t>)</w:t>
      </w:r>
      <w:r w:rsidR="003B694D">
        <w:rPr>
          <w:color w:val="auto"/>
        </w:rPr>
        <w:t xml:space="preserve"> </w:t>
      </w:r>
      <w:r w:rsidR="00961845">
        <w:rPr>
          <w:color w:val="auto"/>
        </w:rPr>
        <w:t>in</w:t>
      </w:r>
      <w:r w:rsidR="008928BE">
        <w:rPr>
          <w:color w:val="auto"/>
        </w:rPr>
        <w:t xml:space="preserve"> het algemeen</w:t>
      </w:r>
      <w:r w:rsidR="00961845">
        <w:rPr>
          <w:color w:val="auto"/>
        </w:rPr>
        <w:t xml:space="preserve"> </w:t>
      </w:r>
      <w:r w:rsidR="003B694D">
        <w:rPr>
          <w:color w:val="auto"/>
        </w:rPr>
        <w:t xml:space="preserve">om </w:t>
      </w:r>
      <w:r w:rsidR="008928BE">
        <w:rPr>
          <w:color w:val="auto"/>
        </w:rPr>
        <w:t xml:space="preserve">bij </w:t>
      </w:r>
      <w:r w:rsidR="003B694D" w:rsidRPr="003B694D">
        <w:rPr>
          <w:color w:val="auto"/>
        </w:rPr>
        <w:t>he</w:t>
      </w:r>
      <w:r w:rsidR="008928BE">
        <w:rPr>
          <w:color w:val="auto"/>
        </w:rPr>
        <w:t xml:space="preserve">t nieuwe toelatingskader voor </w:t>
      </w:r>
      <w:proofErr w:type="spellStart"/>
      <w:r w:rsidR="008928BE">
        <w:rPr>
          <w:color w:val="auto"/>
        </w:rPr>
        <w:t>LEVs</w:t>
      </w:r>
      <w:proofErr w:type="spellEnd"/>
      <w:r w:rsidR="003B694D" w:rsidRPr="003B694D">
        <w:rPr>
          <w:color w:val="auto"/>
        </w:rPr>
        <w:t xml:space="preserve"> </w:t>
      </w:r>
      <w:r w:rsidR="003B694D">
        <w:rPr>
          <w:color w:val="auto"/>
        </w:rPr>
        <w:t xml:space="preserve">te kijken naar de beoogde plek op de weg van </w:t>
      </w:r>
      <w:proofErr w:type="spellStart"/>
      <w:r w:rsidR="003B694D">
        <w:rPr>
          <w:color w:val="auto"/>
        </w:rPr>
        <w:t>LEV’s</w:t>
      </w:r>
      <w:proofErr w:type="spellEnd"/>
      <w:r w:rsidR="003B694D">
        <w:rPr>
          <w:color w:val="auto"/>
        </w:rPr>
        <w:t xml:space="preserve"> </w:t>
      </w:r>
      <w:r w:rsidR="003B694D" w:rsidRPr="003B694D">
        <w:rPr>
          <w:color w:val="auto"/>
        </w:rPr>
        <w:t>en het beoogde functionele gebruik van het voertuig in kwestie, waaronder het vervoeren van kwetsbare passagiers, daarbij zwaar te wegen</w:t>
      </w:r>
      <w:r w:rsidR="003B694D">
        <w:rPr>
          <w:color w:val="auto"/>
        </w:rPr>
        <w:t xml:space="preserve">. Zoals ik uw Kamer heb gemeld in de verzamelbrief voor het AO Verkeersveiligheid van 8 oktober </w:t>
      </w:r>
      <w:r w:rsidR="00DC2AC5">
        <w:rPr>
          <w:color w:val="auto"/>
        </w:rPr>
        <w:t>aanstaande</w:t>
      </w:r>
      <w:r w:rsidR="008928BE">
        <w:rPr>
          <w:color w:val="auto"/>
        </w:rPr>
        <w:t xml:space="preserve"> </w:t>
      </w:r>
      <w:r w:rsidR="003B694D">
        <w:rPr>
          <w:color w:val="auto"/>
        </w:rPr>
        <w:t>ben ik voornemens precies op het punt van de plek op de weg</w:t>
      </w:r>
      <w:r w:rsidR="003B694D" w:rsidRPr="003B694D">
        <w:rPr>
          <w:color w:val="auto"/>
        </w:rPr>
        <w:t xml:space="preserve"> een verdiepende discussie te organiseren</w:t>
      </w:r>
      <w:r w:rsidR="003B694D">
        <w:rPr>
          <w:color w:val="auto"/>
        </w:rPr>
        <w:t xml:space="preserve"> met </w:t>
      </w:r>
      <w:r w:rsidR="003B694D" w:rsidRPr="003B694D">
        <w:rPr>
          <w:color w:val="auto"/>
        </w:rPr>
        <w:t>medeoverheden, Fietsersbond en ANWB</w:t>
      </w:r>
      <w:r w:rsidR="003B694D">
        <w:rPr>
          <w:color w:val="auto"/>
        </w:rPr>
        <w:t>.</w:t>
      </w:r>
      <w:r w:rsidR="00961845">
        <w:rPr>
          <w:color w:val="auto"/>
        </w:rPr>
        <w:t xml:space="preserve"> Daarnaast laat ik per categorie</w:t>
      </w:r>
      <w:r w:rsidR="00961845" w:rsidRPr="00961845">
        <w:rPr>
          <w:color w:val="auto"/>
        </w:rPr>
        <w:t xml:space="preserve"> </w:t>
      </w:r>
      <w:r w:rsidR="00961845">
        <w:rPr>
          <w:color w:val="auto"/>
        </w:rPr>
        <w:t xml:space="preserve">van </w:t>
      </w:r>
      <w:r w:rsidR="008928BE">
        <w:rPr>
          <w:color w:val="auto"/>
        </w:rPr>
        <w:t xml:space="preserve">de </w:t>
      </w:r>
      <w:r w:rsidR="00961845">
        <w:rPr>
          <w:color w:val="auto"/>
        </w:rPr>
        <w:t xml:space="preserve">nieuwe beoogde categorie-indeling van </w:t>
      </w:r>
      <w:proofErr w:type="spellStart"/>
      <w:r w:rsidR="00961845">
        <w:rPr>
          <w:color w:val="auto"/>
        </w:rPr>
        <w:t>LEVs</w:t>
      </w:r>
      <w:proofErr w:type="spellEnd"/>
      <w:r w:rsidR="00961845">
        <w:rPr>
          <w:color w:val="auto"/>
        </w:rPr>
        <w:t xml:space="preserve">, </w:t>
      </w:r>
      <w:r w:rsidR="003E5D39" w:rsidRPr="003E5D39">
        <w:rPr>
          <w:color w:val="auto"/>
        </w:rPr>
        <w:t>risicoprofielen</w:t>
      </w:r>
      <w:r w:rsidR="003E5D39">
        <w:rPr>
          <w:color w:val="auto"/>
        </w:rPr>
        <w:t xml:space="preserve"> opstellen</w:t>
      </w:r>
      <w:r w:rsidR="008928BE">
        <w:rPr>
          <w:color w:val="auto"/>
        </w:rPr>
        <w:t xml:space="preserve"> die vervolgens worden </w:t>
      </w:r>
      <w:r w:rsidR="003E5D39" w:rsidRPr="003E5D39">
        <w:rPr>
          <w:color w:val="auto"/>
        </w:rPr>
        <w:t xml:space="preserve">vertaald naar eisen voor het gebruik op de weg. </w:t>
      </w:r>
      <w:r w:rsidR="00961845" w:rsidRPr="00961845">
        <w:rPr>
          <w:color w:val="auto"/>
        </w:rPr>
        <w:t xml:space="preserve"> </w:t>
      </w:r>
    </w:p>
    <w:p w14:paraId="5BCADC47" w14:textId="77777777" w:rsidR="00975563" w:rsidRDefault="00975563"/>
    <w:p w14:paraId="107185F5" w14:textId="4472CDFD" w:rsidR="00975563" w:rsidRDefault="00CC4EAB">
      <w:r>
        <w:t>De fabrikant is</w:t>
      </w:r>
      <w:r w:rsidR="000D0702">
        <w:t xml:space="preserve"> mondeling</w:t>
      </w:r>
      <w:r>
        <w:t xml:space="preserve"> op de hoogte gebracht van </w:t>
      </w:r>
      <w:r w:rsidR="002C3B12">
        <w:t>mijn voornemen</w:t>
      </w:r>
      <w:r w:rsidR="00DC2AC5">
        <w:t>, evenals de nabestaanden van het ongeval in Oss</w:t>
      </w:r>
      <w:r w:rsidR="00975563">
        <w:t xml:space="preserve">. </w:t>
      </w:r>
      <w:r w:rsidR="002C3B12">
        <w:t xml:space="preserve">Het besluit op de aanvraag zal binnenkort worden genomen. </w:t>
      </w:r>
      <w:r w:rsidR="00C10AF4">
        <w:t xml:space="preserve">Aan dat besluit zullen voorschriften en beperkingen verbonden zijn, zoals dat de naleving van het bovengenoemde convenant </w:t>
      </w:r>
      <w:proofErr w:type="spellStart"/>
      <w:r w:rsidR="00C10AF4">
        <w:t>randvoorwaardelijk</w:t>
      </w:r>
      <w:proofErr w:type="spellEnd"/>
      <w:r w:rsidR="00C10AF4">
        <w:t xml:space="preserve"> is voor de aanwijzing en de voorschriften en beperkingen die zijn opgenomen in de Beleidsregel aanwijzing bijzondere bromfietsen. </w:t>
      </w:r>
      <w:r w:rsidR="002C3B12">
        <w:t xml:space="preserve">Van het besluit zal – zoals gebruikelijk - mededeling worden gedaan in de Staatscourant. </w:t>
      </w:r>
    </w:p>
    <w:p w14:paraId="6E2CCCA3" w14:textId="77777777" w:rsidR="00BC3A72" w:rsidRDefault="00BC3A72" w:rsidP="00BC3A72">
      <w:pPr>
        <w:pStyle w:val="WitregelW1bodytekst"/>
      </w:pPr>
    </w:p>
    <w:p w14:paraId="47B371BD" w14:textId="77777777" w:rsidR="00E0357B" w:rsidRDefault="004E6089" w:rsidP="00BC3A72">
      <w:pPr>
        <w:pStyle w:val="WitregelW1bodytekst"/>
      </w:pPr>
      <w:r>
        <w:t>Hoogachtend,</w:t>
      </w:r>
    </w:p>
    <w:p w14:paraId="4A1F487C" w14:textId="77777777" w:rsidR="00E0357B" w:rsidRDefault="004E6089">
      <w:pPr>
        <w:pStyle w:val="OndertekeningArea1"/>
      </w:pPr>
      <w:r>
        <w:t>DE MINISTER VAN INFRASTRUCTUUR EN WATERSTAAT,</w:t>
      </w:r>
    </w:p>
    <w:p w14:paraId="2D2C9B4F" w14:textId="77777777" w:rsidR="00E0357B" w:rsidRDefault="00E0357B"/>
    <w:p w14:paraId="234EEC82" w14:textId="77777777" w:rsidR="00E0357B" w:rsidRDefault="00E0357B"/>
    <w:p w14:paraId="25D403A8" w14:textId="77777777" w:rsidR="00E0357B" w:rsidRDefault="00E0357B"/>
    <w:p w14:paraId="519D01FF" w14:textId="7F597D7E" w:rsidR="00E0357B" w:rsidRDefault="00E0357B"/>
    <w:p w14:paraId="2730364C" w14:textId="77777777" w:rsidR="001C2BE6" w:rsidRDefault="001C2BE6"/>
    <w:p w14:paraId="0F6275CC" w14:textId="77777777" w:rsidR="00E0357B" w:rsidRDefault="004E6089">
      <w:r>
        <w:t>drs. C. van Nieuwenhuizen Wijbenga</w:t>
      </w:r>
    </w:p>
    <w:sectPr w:rsidR="00E0357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97A5" w14:textId="77777777" w:rsidR="00A37E3A" w:rsidRDefault="00A37E3A">
      <w:pPr>
        <w:spacing w:line="240" w:lineRule="auto"/>
      </w:pPr>
      <w:r>
        <w:separator/>
      </w:r>
    </w:p>
  </w:endnote>
  <w:endnote w:type="continuationSeparator" w:id="0">
    <w:p w14:paraId="2A48BF2F" w14:textId="77777777" w:rsidR="00A37E3A" w:rsidRDefault="00A37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8FF5" w14:textId="77777777" w:rsidR="007B66AC" w:rsidRDefault="007B66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5201" w14:textId="77777777" w:rsidR="007B66AC" w:rsidRDefault="007B66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3DC9" w14:textId="77777777" w:rsidR="007B66AC" w:rsidRDefault="007B66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D1517" w14:textId="77777777" w:rsidR="00A37E3A" w:rsidRDefault="00A37E3A">
      <w:pPr>
        <w:spacing w:line="240" w:lineRule="auto"/>
      </w:pPr>
      <w:r>
        <w:separator/>
      </w:r>
    </w:p>
  </w:footnote>
  <w:footnote w:type="continuationSeparator" w:id="0">
    <w:p w14:paraId="56E1CB3C" w14:textId="77777777" w:rsidR="00A37E3A" w:rsidRDefault="00A37E3A">
      <w:pPr>
        <w:spacing w:line="240" w:lineRule="auto"/>
      </w:pPr>
      <w:r>
        <w:continuationSeparator/>
      </w:r>
    </w:p>
  </w:footnote>
  <w:footnote w:id="1">
    <w:p w14:paraId="5567D641" w14:textId="51ECFEE7" w:rsidR="00EB07DD" w:rsidRDefault="00EB07DD">
      <w:pPr>
        <w:pStyle w:val="Voetnoottekst"/>
      </w:pPr>
      <w:r w:rsidRPr="00B37FB8">
        <w:rPr>
          <w:rStyle w:val="Voetnootmarkering"/>
          <w:sz w:val="14"/>
        </w:rPr>
        <w:footnoteRef/>
      </w:r>
      <w:r w:rsidR="00B37FB8">
        <w:rPr>
          <w:sz w:val="14"/>
        </w:rPr>
        <w:t xml:space="preserve"> </w:t>
      </w:r>
      <w:r w:rsidRPr="00C87A21">
        <w:rPr>
          <w:sz w:val="14"/>
        </w:rPr>
        <w:t xml:space="preserve">In </w:t>
      </w:r>
      <w:r w:rsidR="00B37FB8">
        <w:rPr>
          <w:sz w:val="14"/>
        </w:rPr>
        <w:t xml:space="preserve">de officiële aanvraag tot aanwijzing </w:t>
      </w:r>
      <w:r w:rsidRPr="00C87A21">
        <w:rPr>
          <w:sz w:val="14"/>
        </w:rPr>
        <w:t>Stint-bus genoemd.</w:t>
      </w:r>
    </w:p>
  </w:footnote>
  <w:footnote w:id="2">
    <w:p w14:paraId="12242299" w14:textId="77777777" w:rsidR="0055260A" w:rsidRDefault="0055260A">
      <w:pPr>
        <w:pStyle w:val="Voetnoottekst"/>
      </w:pPr>
      <w:r w:rsidRPr="0055260A">
        <w:rPr>
          <w:rStyle w:val="Voetnootmarkering"/>
          <w:sz w:val="14"/>
        </w:rPr>
        <w:footnoteRef/>
      </w:r>
      <w:r w:rsidRPr="0055260A">
        <w:rPr>
          <w:sz w:val="14"/>
        </w:rPr>
        <w:t xml:space="preserve"> Kamerstuk 29 398, nr. 844</w:t>
      </w:r>
    </w:p>
  </w:footnote>
  <w:footnote w:id="3">
    <w:p w14:paraId="0F4FF43E" w14:textId="77777777" w:rsidR="00C23FC5" w:rsidRDefault="00C23FC5">
      <w:pPr>
        <w:pStyle w:val="Voetnoottekst"/>
      </w:pPr>
      <w:r w:rsidRPr="00CC4EAB">
        <w:rPr>
          <w:rStyle w:val="Voetnootmarkering"/>
          <w:sz w:val="14"/>
        </w:rPr>
        <w:footnoteRef/>
      </w:r>
      <w:r w:rsidRPr="00CC4EAB">
        <w:rPr>
          <w:sz w:val="14"/>
        </w:rPr>
        <w:t xml:space="preserve"> Kamerstuk 29 398, nr. 789</w:t>
      </w:r>
    </w:p>
  </w:footnote>
  <w:footnote w:id="4">
    <w:p w14:paraId="0959ABE5" w14:textId="77777777" w:rsidR="00CC2B76" w:rsidRDefault="00CC2B76">
      <w:pPr>
        <w:pStyle w:val="Voetnoottekst"/>
      </w:pPr>
      <w:r w:rsidRPr="00C87A21">
        <w:rPr>
          <w:rStyle w:val="Voetnootmarkering"/>
          <w:sz w:val="14"/>
          <w:szCs w:val="14"/>
        </w:rPr>
        <w:footnoteRef/>
      </w:r>
      <w:r w:rsidRPr="00DC2AC5">
        <w:rPr>
          <w:sz w:val="14"/>
          <w:szCs w:val="14"/>
        </w:rPr>
        <w:t>K</w:t>
      </w:r>
      <w:r w:rsidRPr="00CC4EAB">
        <w:rPr>
          <w:sz w:val="14"/>
        </w:rPr>
        <w:t>amerstuk 29398, nr. 693</w:t>
      </w:r>
      <w:r w:rsidRPr="00CC2B76">
        <w:t xml:space="preserve">  </w:t>
      </w:r>
    </w:p>
  </w:footnote>
  <w:footnote w:id="5">
    <w:p w14:paraId="50241A9A" w14:textId="77777777" w:rsidR="009D3E64" w:rsidRDefault="009D3E64" w:rsidP="009D3E64">
      <w:pPr>
        <w:pStyle w:val="Voetnoottekst"/>
      </w:pPr>
      <w:r w:rsidRPr="0053720B">
        <w:rPr>
          <w:rStyle w:val="Voetnootmarkering"/>
          <w:sz w:val="14"/>
        </w:rPr>
        <w:footnoteRef/>
      </w:r>
      <w:r w:rsidRPr="0053720B">
        <w:rPr>
          <w:sz w:val="14"/>
        </w:rPr>
        <w:t xml:space="preserve"> Kamerstuk 29 398, nr. 734</w:t>
      </w:r>
    </w:p>
  </w:footnote>
  <w:footnote w:id="6">
    <w:p w14:paraId="5466F931" w14:textId="77777777" w:rsidR="000D5C4C" w:rsidRDefault="000D5C4C" w:rsidP="000D5C4C">
      <w:pPr>
        <w:pStyle w:val="Voetnoottekst"/>
      </w:pPr>
      <w:r w:rsidRPr="0075786A">
        <w:rPr>
          <w:rStyle w:val="Voetnootmarkering"/>
          <w:sz w:val="14"/>
        </w:rPr>
        <w:footnoteRef/>
      </w:r>
      <w:r>
        <w:t xml:space="preserve"> </w:t>
      </w:r>
      <w:r w:rsidRPr="004C54AF">
        <w:rPr>
          <w:sz w:val="14"/>
        </w:rPr>
        <w:t>Kamerstuk 29398, nr. 758</w:t>
      </w:r>
    </w:p>
  </w:footnote>
  <w:footnote w:id="7">
    <w:p w14:paraId="141D5872" w14:textId="1B0BF1C2" w:rsidR="00F93536" w:rsidRDefault="00F93536" w:rsidP="00F93536">
      <w:pPr>
        <w:pStyle w:val="Voetnoottekst"/>
      </w:pPr>
      <w:r w:rsidRPr="0053720B">
        <w:rPr>
          <w:rStyle w:val="Voetnootmarkering"/>
          <w:sz w:val="14"/>
        </w:rPr>
        <w:footnoteRef/>
      </w:r>
      <w:r w:rsidRPr="0053720B">
        <w:rPr>
          <w:sz w:val="14"/>
        </w:rPr>
        <w:t xml:space="preserve"> </w:t>
      </w:r>
      <w:hyperlink r:id="rId1" w:history="1">
        <w:r w:rsidR="00C87A21" w:rsidRPr="008B4D78">
          <w:rPr>
            <w:rStyle w:val="Hyperlink"/>
            <w:sz w:val="14"/>
          </w:rPr>
          <w:t>https://www.rijksoverheid.nl/documenten/kamerstukken/2020/10/01/verzamelbrief-ao-verkeersveiligheid-8-oktober-2020</w:t>
        </w:r>
      </w:hyperlink>
      <w:r w:rsidR="00C87A21">
        <w:rPr>
          <w:sz w:val="14"/>
        </w:rPr>
        <w:t xml:space="preserve"> </w:t>
      </w:r>
    </w:p>
  </w:footnote>
  <w:footnote w:id="8">
    <w:p w14:paraId="599B2D45" w14:textId="6E115921" w:rsidR="00DC2AC5" w:rsidRDefault="00DC2AC5">
      <w:pPr>
        <w:pStyle w:val="Voetnoottekst"/>
      </w:pPr>
      <w:r w:rsidRPr="00C87A21">
        <w:rPr>
          <w:rStyle w:val="Voetnootmarkering"/>
          <w:sz w:val="14"/>
        </w:rPr>
        <w:footnoteRef/>
      </w:r>
      <w:r w:rsidRPr="00C87A21">
        <w:rPr>
          <w:sz w:val="14"/>
        </w:rPr>
        <w:t xml:space="preserve"> </w:t>
      </w:r>
      <w:r w:rsidRPr="0053720B">
        <w:rPr>
          <w:sz w:val="14"/>
        </w:rPr>
        <w:t>Kamerstuk 29 398, nr. 734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7F42" w14:textId="77777777" w:rsidR="007B66AC" w:rsidRDefault="007B66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5C83" w14:textId="77777777" w:rsidR="00E0357B" w:rsidRDefault="004E6089">
    <w:pPr>
      <w:pStyle w:val="MarginlessContainer"/>
    </w:pPr>
    <w:r>
      <w:rPr>
        <w:noProof/>
      </w:rPr>
      <mc:AlternateContent>
        <mc:Choice Requires="wps">
          <w:drawing>
            <wp:anchor distT="0" distB="0" distL="0" distR="0" simplePos="0" relativeHeight="251651584" behindDoc="0" locked="1" layoutInCell="1" allowOverlap="1" wp14:anchorId="5332152C" wp14:editId="4363227C">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D9E9D67" w14:textId="77777777" w:rsidR="00E0357B" w:rsidRDefault="004E6089">
                          <w:pPr>
                            <w:pStyle w:val="AfzendgegevensKop0"/>
                          </w:pPr>
                          <w:r>
                            <w:t>Ministerie van Infrastructuur en Waterstaat</w:t>
                          </w:r>
                        </w:p>
                        <w:p w14:paraId="49096EA8" w14:textId="77777777" w:rsidR="00E0357B" w:rsidRDefault="00E0357B">
                          <w:pPr>
                            <w:pStyle w:val="WitregelW2"/>
                          </w:pPr>
                        </w:p>
                        <w:p w14:paraId="375D8D31" w14:textId="77777777" w:rsidR="007B66AC" w:rsidRDefault="007B66AC" w:rsidP="007B66AC">
                          <w:pPr>
                            <w:pStyle w:val="Referentiegegevenskop"/>
                          </w:pPr>
                          <w:r>
                            <w:t>Ons kenmerk</w:t>
                          </w:r>
                        </w:p>
                        <w:p w14:paraId="1AFE5DFB" w14:textId="77777777" w:rsidR="007B66AC" w:rsidRDefault="007B66AC" w:rsidP="007B66AC">
                          <w:pPr>
                            <w:pStyle w:val="Referentiegegevens"/>
                          </w:pPr>
                          <w:r w:rsidRPr="007B66AC">
                            <w:t>IENW/BSK-2020/196296</w:t>
                          </w:r>
                        </w:p>
                        <w:p w14:paraId="7B6360FE" w14:textId="5655DF1F" w:rsidR="00E0357B" w:rsidRDefault="00E0357B" w:rsidP="007B66AC">
                          <w:pPr>
                            <w:pStyle w:val="Referentiegegevenskop"/>
                          </w:pPr>
                        </w:p>
                      </w:txbxContent>
                    </wps:txbx>
                    <wps:bodyPr vert="horz" wrap="square" lIns="0" tIns="0" rIns="0" bIns="0" anchor="t" anchorCtr="0"/>
                  </wps:wsp>
                </a:graphicData>
              </a:graphic>
            </wp:anchor>
          </w:drawing>
        </mc:Choice>
        <mc:Fallback>
          <w:pict>
            <v:shapetype w14:anchorId="5332152C"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7D9E9D67" w14:textId="77777777" w:rsidR="00E0357B" w:rsidRDefault="004E6089">
                    <w:pPr>
                      <w:pStyle w:val="AfzendgegevensKop0"/>
                    </w:pPr>
                    <w:r>
                      <w:t>Ministerie van Infrastructuur en Waterstaat</w:t>
                    </w:r>
                  </w:p>
                  <w:p w14:paraId="49096EA8" w14:textId="77777777" w:rsidR="00E0357B" w:rsidRDefault="00E0357B">
                    <w:pPr>
                      <w:pStyle w:val="WitregelW2"/>
                    </w:pPr>
                  </w:p>
                  <w:p w14:paraId="375D8D31" w14:textId="77777777" w:rsidR="007B66AC" w:rsidRDefault="007B66AC" w:rsidP="007B66AC">
                    <w:pPr>
                      <w:pStyle w:val="Referentiegegevenskop"/>
                    </w:pPr>
                    <w:r>
                      <w:t>Ons kenmerk</w:t>
                    </w:r>
                  </w:p>
                  <w:p w14:paraId="1AFE5DFB" w14:textId="77777777" w:rsidR="007B66AC" w:rsidRDefault="007B66AC" w:rsidP="007B66AC">
                    <w:pPr>
                      <w:pStyle w:val="Referentiegegevens"/>
                    </w:pPr>
                    <w:r w:rsidRPr="007B66AC">
                      <w:t>IENW/BSK-2020/196296</w:t>
                    </w:r>
                  </w:p>
                  <w:p w14:paraId="7B6360FE" w14:textId="5655DF1F" w:rsidR="00E0357B" w:rsidRDefault="00E0357B" w:rsidP="007B66AC">
                    <w:pPr>
                      <w:pStyle w:val="Referentiegegevenskop"/>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D2EBF4B" wp14:editId="156D8EB1">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007DE8" w14:textId="1993944F" w:rsidR="00E0357B" w:rsidRDefault="004E6089">
                          <w:pPr>
                            <w:pStyle w:val="Referentiegegevens"/>
                          </w:pPr>
                          <w:r>
                            <w:t xml:space="preserve">Pagina </w:t>
                          </w:r>
                          <w:r>
                            <w:fldChar w:fldCharType="begin"/>
                          </w:r>
                          <w:r>
                            <w:instrText>PAGE</w:instrText>
                          </w:r>
                          <w:r>
                            <w:fldChar w:fldCharType="separate"/>
                          </w:r>
                          <w:r w:rsidR="006D5FF1">
                            <w:rPr>
                              <w:noProof/>
                            </w:rPr>
                            <w:t>4</w:t>
                          </w:r>
                          <w:r>
                            <w:fldChar w:fldCharType="end"/>
                          </w:r>
                          <w:r>
                            <w:t xml:space="preserve"> van </w:t>
                          </w:r>
                          <w:r>
                            <w:fldChar w:fldCharType="begin"/>
                          </w:r>
                          <w:r>
                            <w:instrText>NUMPAGES</w:instrText>
                          </w:r>
                          <w:r>
                            <w:fldChar w:fldCharType="separate"/>
                          </w:r>
                          <w:r w:rsidR="006D5FF1">
                            <w:rPr>
                              <w:noProof/>
                            </w:rPr>
                            <w:t>4</w:t>
                          </w:r>
                          <w:r>
                            <w:fldChar w:fldCharType="end"/>
                          </w:r>
                        </w:p>
                      </w:txbxContent>
                    </wps:txbx>
                    <wps:bodyPr vert="horz" wrap="square" lIns="0" tIns="0" rIns="0" bIns="0" anchor="t" anchorCtr="0"/>
                  </wps:wsp>
                </a:graphicData>
              </a:graphic>
            </wp:anchor>
          </w:drawing>
        </mc:Choice>
        <mc:Fallback>
          <w:pict>
            <v:shapetype w14:anchorId="4D2EBF4B"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71007DE8" w14:textId="1993944F" w:rsidR="00E0357B" w:rsidRDefault="004E6089">
                    <w:pPr>
                      <w:pStyle w:val="Referentiegegevens"/>
                    </w:pPr>
                    <w:r>
                      <w:t xml:space="preserve">Pagina </w:t>
                    </w:r>
                    <w:r>
                      <w:fldChar w:fldCharType="begin"/>
                    </w:r>
                    <w:r>
                      <w:instrText>PAGE</w:instrText>
                    </w:r>
                    <w:r>
                      <w:fldChar w:fldCharType="separate"/>
                    </w:r>
                    <w:r w:rsidR="006D5FF1">
                      <w:rPr>
                        <w:noProof/>
                      </w:rPr>
                      <w:t>4</w:t>
                    </w:r>
                    <w:r>
                      <w:fldChar w:fldCharType="end"/>
                    </w:r>
                    <w:r>
                      <w:t xml:space="preserve"> van </w:t>
                    </w:r>
                    <w:r>
                      <w:fldChar w:fldCharType="begin"/>
                    </w:r>
                    <w:r>
                      <w:instrText>NUMPAGES</w:instrText>
                    </w:r>
                    <w:r>
                      <w:fldChar w:fldCharType="separate"/>
                    </w:r>
                    <w:r w:rsidR="006D5FF1">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707EC1A" wp14:editId="75F96614">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BA71AEE" w14:textId="77777777" w:rsidR="00753DA3" w:rsidRDefault="00753DA3"/>
                      </w:txbxContent>
                    </wps:txbx>
                    <wps:bodyPr vert="horz" wrap="square" lIns="0" tIns="0" rIns="0" bIns="0" anchor="t" anchorCtr="0"/>
                  </wps:wsp>
                </a:graphicData>
              </a:graphic>
            </wp:anchor>
          </w:drawing>
        </mc:Choice>
        <mc:Fallback>
          <w:pict>
            <v:shape w14:anchorId="2707EC1A"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6BA71AEE" w14:textId="77777777" w:rsidR="00753DA3" w:rsidRDefault="00753DA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BCDF5CA" wp14:editId="275B2F36">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8996AC" w14:textId="77777777" w:rsidR="00753DA3" w:rsidRDefault="00753DA3"/>
                      </w:txbxContent>
                    </wps:txbx>
                    <wps:bodyPr vert="horz" wrap="square" lIns="0" tIns="0" rIns="0" bIns="0" anchor="t" anchorCtr="0"/>
                  </wps:wsp>
                </a:graphicData>
              </a:graphic>
            </wp:anchor>
          </w:drawing>
        </mc:Choice>
        <mc:Fallback>
          <w:pict>
            <v:shape w14:anchorId="7BCDF5C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7F8996AC" w14:textId="77777777" w:rsidR="00753DA3" w:rsidRDefault="00753DA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738D" w14:textId="77777777" w:rsidR="00E0357B" w:rsidRDefault="004E6089">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702EE296" wp14:editId="51B788A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18A045" w14:textId="77777777" w:rsidR="00753DA3" w:rsidRDefault="00753DA3"/>
                      </w:txbxContent>
                    </wps:txbx>
                    <wps:bodyPr vert="horz" wrap="square" lIns="0" tIns="0" rIns="0" bIns="0" anchor="t" anchorCtr="0"/>
                  </wps:wsp>
                </a:graphicData>
              </a:graphic>
            </wp:anchor>
          </w:drawing>
        </mc:Choice>
        <mc:Fallback>
          <w:pict>
            <v:shapetype w14:anchorId="702EE29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818A045" w14:textId="77777777" w:rsidR="00753DA3" w:rsidRDefault="00753DA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9017750" wp14:editId="184ADDF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56AD41" w14:textId="5C5DFEE6" w:rsidR="00E0357B" w:rsidRDefault="004E6089">
                          <w:pPr>
                            <w:pStyle w:val="Referentiegegevens"/>
                          </w:pPr>
                          <w:r>
                            <w:t xml:space="preserve">Pagina </w:t>
                          </w:r>
                          <w:r>
                            <w:fldChar w:fldCharType="begin"/>
                          </w:r>
                          <w:r>
                            <w:instrText>PAGE</w:instrText>
                          </w:r>
                          <w:r>
                            <w:fldChar w:fldCharType="separate"/>
                          </w:r>
                          <w:r w:rsidR="006D5FF1">
                            <w:rPr>
                              <w:noProof/>
                            </w:rPr>
                            <w:t>1</w:t>
                          </w:r>
                          <w:r>
                            <w:fldChar w:fldCharType="end"/>
                          </w:r>
                          <w:r>
                            <w:t xml:space="preserve"> van </w:t>
                          </w:r>
                          <w:r>
                            <w:fldChar w:fldCharType="begin"/>
                          </w:r>
                          <w:r>
                            <w:instrText>NUMPAGES</w:instrText>
                          </w:r>
                          <w:r>
                            <w:fldChar w:fldCharType="separate"/>
                          </w:r>
                          <w:r w:rsidR="006D5FF1">
                            <w:rPr>
                              <w:noProof/>
                            </w:rPr>
                            <w:t>3</w:t>
                          </w:r>
                          <w:r>
                            <w:fldChar w:fldCharType="end"/>
                          </w:r>
                        </w:p>
                      </w:txbxContent>
                    </wps:txbx>
                    <wps:bodyPr vert="horz" wrap="square" lIns="0" tIns="0" rIns="0" bIns="0" anchor="t" anchorCtr="0"/>
                  </wps:wsp>
                </a:graphicData>
              </a:graphic>
            </wp:anchor>
          </w:drawing>
        </mc:Choice>
        <mc:Fallback>
          <w:pict>
            <v:shapetype w14:anchorId="09017750"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F56AD41" w14:textId="5C5DFEE6" w:rsidR="00E0357B" w:rsidRDefault="004E6089">
                    <w:pPr>
                      <w:pStyle w:val="Referentiegegevens"/>
                    </w:pPr>
                    <w:r>
                      <w:t xml:space="preserve">Pagina </w:t>
                    </w:r>
                    <w:r>
                      <w:fldChar w:fldCharType="begin"/>
                    </w:r>
                    <w:r>
                      <w:instrText>PAGE</w:instrText>
                    </w:r>
                    <w:r>
                      <w:fldChar w:fldCharType="separate"/>
                    </w:r>
                    <w:r w:rsidR="006D5FF1">
                      <w:rPr>
                        <w:noProof/>
                      </w:rPr>
                      <w:t>1</w:t>
                    </w:r>
                    <w:r>
                      <w:fldChar w:fldCharType="end"/>
                    </w:r>
                    <w:r>
                      <w:t xml:space="preserve"> van </w:t>
                    </w:r>
                    <w:r>
                      <w:fldChar w:fldCharType="begin"/>
                    </w:r>
                    <w:r>
                      <w:instrText>NUMPAGES</w:instrText>
                    </w:r>
                    <w:r>
                      <w:fldChar w:fldCharType="separate"/>
                    </w:r>
                    <w:r w:rsidR="006D5FF1">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B329637" wp14:editId="2EB9800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578E6DB" w14:textId="77777777" w:rsidR="00E0357B" w:rsidRDefault="004E6089">
                          <w:pPr>
                            <w:pStyle w:val="AfzendgegevensKop0"/>
                          </w:pPr>
                          <w:r>
                            <w:t>Ministerie van Infrastructuur en Waterstaat</w:t>
                          </w:r>
                        </w:p>
                        <w:p w14:paraId="3A3D6395" w14:textId="77777777" w:rsidR="00E0357B" w:rsidRDefault="00E0357B">
                          <w:pPr>
                            <w:pStyle w:val="WitregelW1"/>
                          </w:pPr>
                        </w:p>
                        <w:p w14:paraId="60222710" w14:textId="77777777" w:rsidR="00E0357B" w:rsidRDefault="004E6089">
                          <w:pPr>
                            <w:pStyle w:val="Afzendgegevens"/>
                          </w:pPr>
                          <w:r>
                            <w:t>Rijnstraat 8</w:t>
                          </w:r>
                        </w:p>
                        <w:p w14:paraId="19418C26" w14:textId="77777777" w:rsidR="00E0357B" w:rsidRPr="007E11DA" w:rsidRDefault="004E6089">
                          <w:pPr>
                            <w:pStyle w:val="Afzendgegevens"/>
                            <w:rPr>
                              <w:lang w:val="de-DE"/>
                            </w:rPr>
                          </w:pPr>
                          <w:r w:rsidRPr="007E11DA">
                            <w:rPr>
                              <w:lang w:val="de-DE"/>
                            </w:rPr>
                            <w:t>2515 XP  Den Haag</w:t>
                          </w:r>
                        </w:p>
                        <w:p w14:paraId="02AA4089" w14:textId="77777777" w:rsidR="00E0357B" w:rsidRPr="007E11DA" w:rsidRDefault="004E6089">
                          <w:pPr>
                            <w:pStyle w:val="Afzendgegevens"/>
                            <w:rPr>
                              <w:lang w:val="de-DE"/>
                            </w:rPr>
                          </w:pPr>
                          <w:r w:rsidRPr="007E11DA">
                            <w:rPr>
                              <w:lang w:val="de-DE"/>
                            </w:rPr>
                            <w:t>Postbus 20901</w:t>
                          </w:r>
                        </w:p>
                        <w:p w14:paraId="587A7A1F" w14:textId="77777777" w:rsidR="00E0357B" w:rsidRPr="007E11DA" w:rsidRDefault="004E6089">
                          <w:pPr>
                            <w:pStyle w:val="Afzendgegevens"/>
                            <w:rPr>
                              <w:lang w:val="de-DE"/>
                            </w:rPr>
                          </w:pPr>
                          <w:r w:rsidRPr="007E11DA">
                            <w:rPr>
                              <w:lang w:val="de-DE"/>
                            </w:rPr>
                            <w:t>2500 EX Den Haag</w:t>
                          </w:r>
                        </w:p>
                        <w:p w14:paraId="6DABD380" w14:textId="77777777" w:rsidR="00E0357B" w:rsidRPr="007E11DA" w:rsidRDefault="00E0357B">
                          <w:pPr>
                            <w:pStyle w:val="WitregelW1"/>
                            <w:rPr>
                              <w:lang w:val="de-DE"/>
                            </w:rPr>
                          </w:pPr>
                        </w:p>
                        <w:p w14:paraId="73DDB6FB" w14:textId="77777777" w:rsidR="00E0357B" w:rsidRPr="007E11DA" w:rsidRDefault="004E6089">
                          <w:pPr>
                            <w:pStyle w:val="Afzendgegevens"/>
                            <w:rPr>
                              <w:lang w:val="de-DE"/>
                            </w:rPr>
                          </w:pPr>
                          <w:r w:rsidRPr="007E11DA">
                            <w:rPr>
                              <w:lang w:val="de-DE"/>
                            </w:rPr>
                            <w:t>T   070-456 0000</w:t>
                          </w:r>
                        </w:p>
                        <w:p w14:paraId="1BC1A12A" w14:textId="77777777" w:rsidR="00E0357B" w:rsidRDefault="004E6089">
                          <w:pPr>
                            <w:pStyle w:val="Afzendgegevens"/>
                          </w:pPr>
                          <w:r>
                            <w:t>F   070-456 1111</w:t>
                          </w:r>
                        </w:p>
                        <w:p w14:paraId="6E5083F9" w14:textId="77777777" w:rsidR="00E0357B" w:rsidRDefault="00E0357B">
                          <w:pPr>
                            <w:pStyle w:val="WitregelW2"/>
                          </w:pPr>
                        </w:p>
                        <w:p w14:paraId="21E3DEBF" w14:textId="77777777" w:rsidR="00E0357B" w:rsidRDefault="004E6089">
                          <w:pPr>
                            <w:pStyle w:val="Referentiegegevenskop"/>
                          </w:pPr>
                          <w:r>
                            <w:t>Ons kenmerk</w:t>
                          </w:r>
                        </w:p>
                        <w:p w14:paraId="3DE4FF75" w14:textId="717CB270" w:rsidR="00E0357B" w:rsidRDefault="007B66AC" w:rsidP="007B66AC">
                          <w:pPr>
                            <w:pStyle w:val="Referentiegegevens"/>
                          </w:pPr>
                          <w:r w:rsidRPr="007B66AC">
                            <w:t>IENW/BSK-2020/196296</w:t>
                          </w:r>
                        </w:p>
                        <w:p w14:paraId="57D657FD" w14:textId="457C0369" w:rsidR="00626A0A" w:rsidRDefault="00626A0A" w:rsidP="00626A0A"/>
                        <w:p w14:paraId="419BA737" w14:textId="0D45570A" w:rsidR="00626A0A" w:rsidRPr="00626A0A" w:rsidRDefault="00626A0A" w:rsidP="00626A0A">
                          <w:pPr>
                            <w:rPr>
                              <w:b/>
                              <w:sz w:val="13"/>
                              <w:szCs w:val="13"/>
                            </w:rPr>
                          </w:pPr>
                          <w:r w:rsidRPr="00626A0A">
                            <w:rPr>
                              <w:b/>
                              <w:sz w:val="13"/>
                              <w:szCs w:val="13"/>
                            </w:rPr>
                            <w:t>Bijlage(n)</w:t>
                          </w:r>
                        </w:p>
                        <w:p w14:paraId="3828C126" w14:textId="6D7755B0" w:rsidR="00626A0A" w:rsidRPr="00626A0A" w:rsidRDefault="00626A0A" w:rsidP="00626A0A">
                          <w:pPr>
                            <w:rPr>
                              <w:sz w:val="13"/>
                              <w:szCs w:val="13"/>
                            </w:rPr>
                          </w:pPr>
                          <w:r w:rsidRPr="00626A0A">
                            <w:rPr>
                              <w:sz w:val="13"/>
                              <w:szCs w:val="13"/>
                            </w:rPr>
                            <w:t>5</w:t>
                          </w:r>
                        </w:p>
                      </w:txbxContent>
                    </wps:txbx>
                    <wps:bodyPr vert="horz" wrap="square" lIns="0" tIns="0" rIns="0" bIns="0" anchor="t" anchorCtr="0"/>
                  </wps:wsp>
                </a:graphicData>
              </a:graphic>
            </wp:anchor>
          </w:drawing>
        </mc:Choice>
        <mc:Fallback>
          <w:pict>
            <v:shape w14:anchorId="0B329637"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578E6DB" w14:textId="77777777" w:rsidR="00E0357B" w:rsidRDefault="004E6089">
                    <w:pPr>
                      <w:pStyle w:val="AfzendgegevensKop0"/>
                    </w:pPr>
                    <w:r>
                      <w:t>Ministerie van Infrastructuur en Waterstaat</w:t>
                    </w:r>
                  </w:p>
                  <w:p w14:paraId="3A3D6395" w14:textId="77777777" w:rsidR="00E0357B" w:rsidRDefault="00E0357B">
                    <w:pPr>
                      <w:pStyle w:val="WitregelW1"/>
                    </w:pPr>
                  </w:p>
                  <w:p w14:paraId="60222710" w14:textId="77777777" w:rsidR="00E0357B" w:rsidRDefault="004E6089">
                    <w:pPr>
                      <w:pStyle w:val="Afzendgegevens"/>
                    </w:pPr>
                    <w:r>
                      <w:t>Rijnstraat 8</w:t>
                    </w:r>
                  </w:p>
                  <w:p w14:paraId="19418C26" w14:textId="77777777" w:rsidR="00E0357B" w:rsidRPr="007E11DA" w:rsidRDefault="004E6089">
                    <w:pPr>
                      <w:pStyle w:val="Afzendgegevens"/>
                      <w:rPr>
                        <w:lang w:val="de-DE"/>
                      </w:rPr>
                    </w:pPr>
                    <w:r w:rsidRPr="007E11DA">
                      <w:rPr>
                        <w:lang w:val="de-DE"/>
                      </w:rPr>
                      <w:t>2515 XP  Den Haag</w:t>
                    </w:r>
                  </w:p>
                  <w:p w14:paraId="02AA4089" w14:textId="77777777" w:rsidR="00E0357B" w:rsidRPr="007E11DA" w:rsidRDefault="004E6089">
                    <w:pPr>
                      <w:pStyle w:val="Afzendgegevens"/>
                      <w:rPr>
                        <w:lang w:val="de-DE"/>
                      </w:rPr>
                    </w:pPr>
                    <w:r w:rsidRPr="007E11DA">
                      <w:rPr>
                        <w:lang w:val="de-DE"/>
                      </w:rPr>
                      <w:t>Postbus 20901</w:t>
                    </w:r>
                  </w:p>
                  <w:p w14:paraId="587A7A1F" w14:textId="77777777" w:rsidR="00E0357B" w:rsidRPr="007E11DA" w:rsidRDefault="004E6089">
                    <w:pPr>
                      <w:pStyle w:val="Afzendgegevens"/>
                      <w:rPr>
                        <w:lang w:val="de-DE"/>
                      </w:rPr>
                    </w:pPr>
                    <w:r w:rsidRPr="007E11DA">
                      <w:rPr>
                        <w:lang w:val="de-DE"/>
                      </w:rPr>
                      <w:t>2500 EX Den Haag</w:t>
                    </w:r>
                  </w:p>
                  <w:p w14:paraId="6DABD380" w14:textId="77777777" w:rsidR="00E0357B" w:rsidRPr="007E11DA" w:rsidRDefault="00E0357B">
                    <w:pPr>
                      <w:pStyle w:val="WitregelW1"/>
                      <w:rPr>
                        <w:lang w:val="de-DE"/>
                      </w:rPr>
                    </w:pPr>
                  </w:p>
                  <w:p w14:paraId="73DDB6FB" w14:textId="77777777" w:rsidR="00E0357B" w:rsidRPr="007E11DA" w:rsidRDefault="004E6089">
                    <w:pPr>
                      <w:pStyle w:val="Afzendgegevens"/>
                      <w:rPr>
                        <w:lang w:val="de-DE"/>
                      </w:rPr>
                    </w:pPr>
                    <w:r w:rsidRPr="007E11DA">
                      <w:rPr>
                        <w:lang w:val="de-DE"/>
                      </w:rPr>
                      <w:t>T   070-456 0000</w:t>
                    </w:r>
                  </w:p>
                  <w:p w14:paraId="1BC1A12A" w14:textId="77777777" w:rsidR="00E0357B" w:rsidRDefault="004E6089">
                    <w:pPr>
                      <w:pStyle w:val="Afzendgegevens"/>
                    </w:pPr>
                    <w:r>
                      <w:t>F   070-456 1111</w:t>
                    </w:r>
                  </w:p>
                  <w:p w14:paraId="6E5083F9" w14:textId="77777777" w:rsidR="00E0357B" w:rsidRDefault="00E0357B">
                    <w:pPr>
                      <w:pStyle w:val="WitregelW2"/>
                    </w:pPr>
                  </w:p>
                  <w:p w14:paraId="21E3DEBF" w14:textId="77777777" w:rsidR="00E0357B" w:rsidRDefault="004E6089">
                    <w:pPr>
                      <w:pStyle w:val="Referentiegegevenskop"/>
                    </w:pPr>
                    <w:r>
                      <w:t>Ons kenmerk</w:t>
                    </w:r>
                  </w:p>
                  <w:p w14:paraId="3DE4FF75" w14:textId="717CB270" w:rsidR="00E0357B" w:rsidRDefault="007B66AC" w:rsidP="007B66AC">
                    <w:pPr>
                      <w:pStyle w:val="Referentiegegevens"/>
                    </w:pPr>
                    <w:r w:rsidRPr="007B66AC">
                      <w:t>IENW/BSK-2020/196296</w:t>
                    </w:r>
                  </w:p>
                  <w:p w14:paraId="57D657FD" w14:textId="457C0369" w:rsidR="00626A0A" w:rsidRDefault="00626A0A" w:rsidP="00626A0A"/>
                  <w:p w14:paraId="419BA737" w14:textId="0D45570A" w:rsidR="00626A0A" w:rsidRPr="00626A0A" w:rsidRDefault="00626A0A" w:rsidP="00626A0A">
                    <w:pPr>
                      <w:rPr>
                        <w:b/>
                        <w:sz w:val="13"/>
                        <w:szCs w:val="13"/>
                      </w:rPr>
                    </w:pPr>
                    <w:bookmarkStart w:id="1" w:name="_GoBack"/>
                    <w:r w:rsidRPr="00626A0A">
                      <w:rPr>
                        <w:b/>
                        <w:sz w:val="13"/>
                        <w:szCs w:val="13"/>
                      </w:rPr>
                      <w:t>Bijlage(n)</w:t>
                    </w:r>
                  </w:p>
                  <w:p w14:paraId="3828C126" w14:textId="6D7755B0" w:rsidR="00626A0A" w:rsidRPr="00626A0A" w:rsidRDefault="00626A0A" w:rsidP="00626A0A">
                    <w:pPr>
                      <w:rPr>
                        <w:sz w:val="13"/>
                        <w:szCs w:val="13"/>
                      </w:rPr>
                    </w:pPr>
                    <w:r w:rsidRPr="00626A0A">
                      <w:rPr>
                        <w:sz w:val="13"/>
                        <w:szCs w:val="13"/>
                      </w:rPr>
                      <w:t>5</w:t>
                    </w:r>
                    <w:bookmarkEnd w:id="1"/>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D70F099" wp14:editId="10CADA9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06E81C5" w14:textId="77777777" w:rsidR="00753DA3" w:rsidRDefault="00753DA3"/>
                      </w:txbxContent>
                    </wps:txbx>
                    <wps:bodyPr vert="horz" wrap="square" lIns="0" tIns="0" rIns="0" bIns="0" anchor="t" anchorCtr="0"/>
                  </wps:wsp>
                </a:graphicData>
              </a:graphic>
            </wp:anchor>
          </w:drawing>
        </mc:Choice>
        <mc:Fallback>
          <w:pict>
            <v:shape w14:anchorId="1D70F099"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06E81C5" w14:textId="77777777" w:rsidR="00753DA3" w:rsidRDefault="00753DA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300DB2" wp14:editId="3B8A4CC4">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CE6E98" w14:textId="77777777" w:rsidR="00E0357B" w:rsidRDefault="004E6089">
                          <w:pPr>
                            <w:pStyle w:val="MarginlessContainer"/>
                          </w:pPr>
                          <w:r>
                            <w:rPr>
                              <w:noProof/>
                            </w:rPr>
                            <w:drawing>
                              <wp:inline distT="0" distB="0" distL="0" distR="0" wp14:anchorId="5A794DB8" wp14:editId="7AA77A5C">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300DB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51CE6E98" w14:textId="77777777" w:rsidR="00E0357B" w:rsidRDefault="004E6089">
                    <w:pPr>
                      <w:pStyle w:val="MarginlessContainer"/>
                    </w:pPr>
                    <w:r>
                      <w:rPr>
                        <w:noProof/>
                      </w:rPr>
                      <w:drawing>
                        <wp:inline distT="0" distB="0" distL="0" distR="0" wp14:anchorId="5A794DB8" wp14:editId="7AA77A5C">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3AFD2A5" wp14:editId="4B30DCCE">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755F36B" w14:textId="77777777" w:rsidR="00E0357B" w:rsidRDefault="004E608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3AFD2A5"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7755F36B" w14:textId="77777777" w:rsidR="00E0357B" w:rsidRDefault="004E6089">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C93B503" wp14:editId="3993F654">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4CC9D91" w14:textId="77777777" w:rsidR="00E0357B" w:rsidRDefault="004E6089">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w:pict>
            <v:shape w14:anchorId="2C93B503"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34CC9D91" w14:textId="77777777" w:rsidR="00E0357B" w:rsidRDefault="004E6089">
                    <w:r>
                      <w:t>De voorzitter van de Tweede Kamer</w:t>
                    </w:r>
                    <w:r>
                      <w:br/>
                      <w:t>der Staten-Generaal</w:t>
                    </w:r>
                    <w:r>
                      <w:br/>
                      <w:t>Binnenhof 4</w:t>
                    </w:r>
                    <w:r>
                      <w:b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5DBDDE" wp14:editId="3349E72F">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0357B" w14:paraId="2E6C513A" w14:textId="77777777">
                            <w:trPr>
                              <w:trHeight w:val="200"/>
                            </w:trPr>
                            <w:tc>
                              <w:tcPr>
                                <w:tcW w:w="1140" w:type="dxa"/>
                              </w:tcPr>
                              <w:p w14:paraId="4138771D" w14:textId="77777777" w:rsidR="00E0357B" w:rsidRDefault="00E0357B"/>
                            </w:tc>
                            <w:tc>
                              <w:tcPr>
                                <w:tcW w:w="5400" w:type="dxa"/>
                              </w:tcPr>
                              <w:p w14:paraId="2E3E7DC9" w14:textId="77777777" w:rsidR="00E0357B" w:rsidRDefault="00E0357B"/>
                            </w:tc>
                          </w:tr>
                          <w:tr w:rsidR="00E0357B" w14:paraId="06E577E3" w14:textId="77777777">
                            <w:trPr>
                              <w:trHeight w:val="240"/>
                            </w:trPr>
                            <w:tc>
                              <w:tcPr>
                                <w:tcW w:w="1140" w:type="dxa"/>
                              </w:tcPr>
                              <w:p w14:paraId="0C74E34F" w14:textId="77777777" w:rsidR="00E0357B" w:rsidRDefault="004E6089">
                                <w:r>
                                  <w:t>Datum</w:t>
                                </w:r>
                              </w:p>
                            </w:tc>
                            <w:tc>
                              <w:tcPr>
                                <w:tcW w:w="5400" w:type="dxa"/>
                              </w:tcPr>
                              <w:p w14:paraId="7B40FAE1" w14:textId="102F4F95" w:rsidR="00E0357B" w:rsidRDefault="007B66AC">
                                <w:r>
                                  <w:t>7 oktober 2020</w:t>
                                </w:r>
                              </w:p>
                            </w:tc>
                          </w:tr>
                          <w:tr w:rsidR="00E0357B" w14:paraId="0BC5883A" w14:textId="77777777">
                            <w:trPr>
                              <w:trHeight w:val="240"/>
                            </w:trPr>
                            <w:tc>
                              <w:tcPr>
                                <w:tcW w:w="1140" w:type="dxa"/>
                              </w:tcPr>
                              <w:p w14:paraId="2C34F38B" w14:textId="77777777" w:rsidR="00E0357B" w:rsidRDefault="004E6089">
                                <w:r>
                                  <w:t>Betreft</w:t>
                                </w:r>
                              </w:p>
                            </w:tc>
                            <w:tc>
                              <w:tcPr>
                                <w:tcW w:w="5400" w:type="dxa"/>
                              </w:tcPr>
                              <w:p w14:paraId="066FD831" w14:textId="666BCA41" w:rsidR="00E0357B" w:rsidRDefault="00CC2B76" w:rsidP="00832EE0">
                                <w:r>
                                  <w:t>Stand van zaken van de</w:t>
                                </w:r>
                                <w:r w:rsidR="004E6089">
                                  <w:t xml:space="preserve"> aanvraag </w:t>
                                </w:r>
                                <w:r w:rsidR="00832EE0">
                                  <w:t>BSO</w:t>
                                </w:r>
                                <w:r w:rsidR="004E6089">
                                  <w:t>-bus</w:t>
                                </w:r>
                              </w:p>
                            </w:tc>
                          </w:tr>
                          <w:tr w:rsidR="00E0357B" w14:paraId="40C9F15F" w14:textId="77777777">
                            <w:trPr>
                              <w:trHeight w:val="200"/>
                            </w:trPr>
                            <w:tc>
                              <w:tcPr>
                                <w:tcW w:w="1140" w:type="dxa"/>
                              </w:tcPr>
                              <w:p w14:paraId="3407C3EE" w14:textId="77777777" w:rsidR="00E0357B" w:rsidRDefault="00E0357B"/>
                            </w:tc>
                            <w:tc>
                              <w:tcPr>
                                <w:tcW w:w="5400" w:type="dxa"/>
                              </w:tcPr>
                              <w:p w14:paraId="28F45768" w14:textId="77777777" w:rsidR="00E0357B" w:rsidRDefault="00E0357B"/>
                            </w:tc>
                          </w:tr>
                        </w:tbl>
                        <w:p w14:paraId="1E3D9305" w14:textId="77777777" w:rsidR="00753DA3" w:rsidRDefault="00753DA3"/>
                      </w:txbxContent>
                    </wps:txbx>
                    <wps:bodyPr vert="horz" wrap="square" lIns="0" tIns="0" rIns="0" bIns="0" anchor="t" anchorCtr="0"/>
                  </wps:wsp>
                </a:graphicData>
              </a:graphic>
            </wp:anchor>
          </w:drawing>
        </mc:Choice>
        <mc:Fallback>
          <w:pict>
            <v:shape w14:anchorId="7C5DBDD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E0357B" w14:paraId="2E6C513A" w14:textId="77777777">
                      <w:trPr>
                        <w:trHeight w:val="200"/>
                      </w:trPr>
                      <w:tc>
                        <w:tcPr>
                          <w:tcW w:w="1140" w:type="dxa"/>
                        </w:tcPr>
                        <w:p w14:paraId="4138771D" w14:textId="77777777" w:rsidR="00E0357B" w:rsidRDefault="00E0357B"/>
                      </w:tc>
                      <w:tc>
                        <w:tcPr>
                          <w:tcW w:w="5400" w:type="dxa"/>
                        </w:tcPr>
                        <w:p w14:paraId="2E3E7DC9" w14:textId="77777777" w:rsidR="00E0357B" w:rsidRDefault="00E0357B"/>
                      </w:tc>
                    </w:tr>
                    <w:tr w:rsidR="00E0357B" w14:paraId="06E577E3" w14:textId="77777777">
                      <w:trPr>
                        <w:trHeight w:val="240"/>
                      </w:trPr>
                      <w:tc>
                        <w:tcPr>
                          <w:tcW w:w="1140" w:type="dxa"/>
                        </w:tcPr>
                        <w:p w14:paraId="0C74E34F" w14:textId="77777777" w:rsidR="00E0357B" w:rsidRDefault="004E6089">
                          <w:r>
                            <w:t>Datum</w:t>
                          </w:r>
                        </w:p>
                      </w:tc>
                      <w:tc>
                        <w:tcPr>
                          <w:tcW w:w="5400" w:type="dxa"/>
                        </w:tcPr>
                        <w:p w14:paraId="7B40FAE1" w14:textId="102F4F95" w:rsidR="00E0357B" w:rsidRDefault="007B66AC">
                          <w:r>
                            <w:t>7 oktober 2020</w:t>
                          </w:r>
                        </w:p>
                      </w:tc>
                    </w:tr>
                    <w:tr w:rsidR="00E0357B" w14:paraId="0BC5883A" w14:textId="77777777">
                      <w:trPr>
                        <w:trHeight w:val="240"/>
                      </w:trPr>
                      <w:tc>
                        <w:tcPr>
                          <w:tcW w:w="1140" w:type="dxa"/>
                        </w:tcPr>
                        <w:p w14:paraId="2C34F38B" w14:textId="77777777" w:rsidR="00E0357B" w:rsidRDefault="004E6089">
                          <w:r>
                            <w:t>Betreft</w:t>
                          </w:r>
                        </w:p>
                      </w:tc>
                      <w:tc>
                        <w:tcPr>
                          <w:tcW w:w="5400" w:type="dxa"/>
                        </w:tcPr>
                        <w:p w14:paraId="066FD831" w14:textId="666BCA41" w:rsidR="00E0357B" w:rsidRDefault="00CC2B76" w:rsidP="00832EE0">
                          <w:r>
                            <w:t>Stand van zaken van de</w:t>
                          </w:r>
                          <w:r w:rsidR="004E6089">
                            <w:t xml:space="preserve"> aanvraag </w:t>
                          </w:r>
                          <w:r w:rsidR="00832EE0">
                            <w:t>BSO</w:t>
                          </w:r>
                          <w:r w:rsidR="004E6089">
                            <w:t>-bus</w:t>
                          </w:r>
                        </w:p>
                      </w:tc>
                    </w:tr>
                    <w:tr w:rsidR="00E0357B" w14:paraId="40C9F15F" w14:textId="77777777">
                      <w:trPr>
                        <w:trHeight w:val="200"/>
                      </w:trPr>
                      <w:tc>
                        <w:tcPr>
                          <w:tcW w:w="1140" w:type="dxa"/>
                        </w:tcPr>
                        <w:p w14:paraId="3407C3EE" w14:textId="77777777" w:rsidR="00E0357B" w:rsidRDefault="00E0357B"/>
                      </w:tc>
                      <w:tc>
                        <w:tcPr>
                          <w:tcW w:w="5400" w:type="dxa"/>
                        </w:tcPr>
                        <w:p w14:paraId="28F45768" w14:textId="77777777" w:rsidR="00E0357B" w:rsidRDefault="00E0357B"/>
                      </w:tc>
                    </w:tr>
                  </w:tbl>
                  <w:p w14:paraId="1E3D9305" w14:textId="77777777" w:rsidR="00753DA3" w:rsidRDefault="00753DA3"/>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3536C187" wp14:editId="10AB2E83">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03145F" w14:textId="77777777" w:rsidR="00753DA3" w:rsidRDefault="00753DA3"/>
                      </w:txbxContent>
                    </wps:txbx>
                    <wps:bodyPr vert="horz" wrap="square" lIns="0" tIns="0" rIns="0" bIns="0" anchor="t" anchorCtr="0"/>
                  </wps:wsp>
                </a:graphicData>
              </a:graphic>
            </wp:anchor>
          </w:drawing>
        </mc:Choice>
        <mc:Fallback>
          <w:pict>
            <v:shape w14:anchorId="3536C18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5003145F" w14:textId="77777777" w:rsidR="00753DA3" w:rsidRDefault="00753D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0133C"/>
    <w:multiLevelType w:val="multilevel"/>
    <w:tmpl w:val="25DAB88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7B3EEE"/>
    <w:multiLevelType w:val="multilevel"/>
    <w:tmpl w:val="9313B59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AAF6FE"/>
    <w:multiLevelType w:val="multilevel"/>
    <w:tmpl w:val="01B577B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D81C44"/>
    <w:multiLevelType w:val="multilevel"/>
    <w:tmpl w:val="F70D6EC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928693"/>
    <w:multiLevelType w:val="multilevel"/>
    <w:tmpl w:val="17CD574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FFE5897"/>
    <w:multiLevelType w:val="multilevel"/>
    <w:tmpl w:val="73B0100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628467"/>
    <w:multiLevelType w:val="multilevel"/>
    <w:tmpl w:val="4A318D6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97174"/>
    <w:multiLevelType w:val="multilevel"/>
    <w:tmpl w:val="5B2158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A1BF0"/>
    <w:multiLevelType w:val="multilevel"/>
    <w:tmpl w:val="89AC828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2D569"/>
    <w:multiLevelType w:val="multilevel"/>
    <w:tmpl w:val="FDAC359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0FDF1"/>
    <w:multiLevelType w:val="multilevel"/>
    <w:tmpl w:val="58B236C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F5E7A"/>
    <w:multiLevelType w:val="multilevel"/>
    <w:tmpl w:val="2A4E772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19CBC0"/>
    <w:multiLevelType w:val="multilevel"/>
    <w:tmpl w:val="636B5A5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BB26A8"/>
    <w:multiLevelType w:val="hybridMultilevel"/>
    <w:tmpl w:val="4F18C1D6"/>
    <w:lvl w:ilvl="0" w:tplc="97DE9EBE">
      <w:numFmt w:val="bullet"/>
      <w:lvlText w:val="-"/>
      <w:lvlJc w:val="left"/>
      <w:pPr>
        <w:ind w:left="720" w:hanging="360"/>
      </w:pPr>
      <w:rPr>
        <w:rFonts w:ascii="Verdana" w:eastAsia="DejaVu Sans"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0B04AA"/>
    <w:multiLevelType w:val="multilevel"/>
    <w:tmpl w:val="820F5BF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1758A0"/>
    <w:multiLevelType w:val="hybridMultilevel"/>
    <w:tmpl w:val="4CACB52C"/>
    <w:lvl w:ilvl="0" w:tplc="A2CCF9D0">
      <w:numFmt w:val="bullet"/>
      <w:lvlText w:val="-"/>
      <w:lvlJc w:val="left"/>
      <w:pPr>
        <w:ind w:left="720" w:hanging="360"/>
      </w:pPr>
      <w:rPr>
        <w:rFonts w:ascii="Verdana" w:eastAsia="DejaVu Sans"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C98539"/>
    <w:multiLevelType w:val="multilevel"/>
    <w:tmpl w:val="68D372F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06BB14"/>
    <w:multiLevelType w:val="multilevel"/>
    <w:tmpl w:val="89107BD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633EFC"/>
    <w:multiLevelType w:val="multilevel"/>
    <w:tmpl w:val="35418CB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15B21D"/>
    <w:multiLevelType w:val="multilevel"/>
    <w:tmpl w:val="C70CAC0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A62C22"/>
    <w:multiLevelType w:val="multilevel"/>
    <w:tmpl w:val="23898B8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9CF8FB"/>
    <w:multiLevelType w:val="multilevel"/>
    <w:tmpl w:val="8A8E363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9"/>
  </w:num>
  <w:num w:numId="4">
    <w:abstractNumId w:val="18"/>
  </w:num>
  <w:num w:numId="5">
    <w:abstractNumId w:val="20"/>
  </w:num>
  <w:num w:numId="6">
    <w:abstractNumId w:val="8"/>
  </w:num>
  <w:num w:numId="7">
    <w:abstractNumId w:val="6"/>
  </w:num>
  <w:num w:numId="8">
    <w:abstractNumId w:val="3"/>
  </w:num>
  <w:num w:numId="9">
    <w:abstractNumId w:val="12"/>
  </w:num>
  <w:num w:numId="10">
    <w:abstractNumId w:val="5"/>
  </w:num>
  <w:num w:numId="11">
    <w:abstractNumId w:val="19"/>
  </w:num>
  <w:num w:numId="12">
    <w:abstractNumId w:val="14"/>
  </w:num>
  <w:num w:numId="13">
    <w:abstractNumId w:val="4"/>
  </w:num>
  <w:num w:numId="14">
    <w:abstractNumId w:val="0"/>
  </w:num>
  <w:num w:numId="15">
    <w:abstractNumId w:val="11"/>
  </w:num>
  <w:num w:numId="16">
    <w:abstractNumId w:val="1"/>
  </w:num>
  <w:num w:numId="17">
    <w:abstractNumId w:val="2"/>
  </w:num>
  <w:num w:numId="18">
    <w:abstractNumId w:val="16"/>
  </w:num>
  <w:num w:numId="19">
    <w:abstractNumId w:val="10"/>
  </w:num>
  <w:num w:numId="20">
    <w:abstractNumId w:val="21"/>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5B"/>
    <w:rsid w:val="00016F35"/>
    <w:rsid w:val="000439E9"/>
    <w:rsid w:val="000515B1"/>
    <w:rsid w:val="00052415"/>
    <w:rsid w:val="000D0702"/>
    <w:rsid w:val="000D5C4C"/>
    <w:rsid w:val="000E544F"/>
    <w:rsid w:val="00132FA2"/>
    <w:rsid w:val="0013668D"/>
    <w:rsid w:val="0018062D"/>
    <w:rsid w:val="001808A5"/>
    <w:rsid w:val="001C2BE6"/>
    <w:rsid w:val="001E1E93"/>
    <w:rsid w:val="002400D8"/>
    <w:rsid w:val="002450E5"/>
    <w:rsid w:val="00246C91"/>
    <w:rsid w:val="00252A2F"/>
    <w:rsid w:val="00264130"/>
    <w:rsid w:val="0029062D"/>
    <w:rsid w:val="00296DF4"/>
    <w:rsid w:val="002B0EF5"/>
    <w:rsid w:val="002C27F2"/>
    <w:rsid w:val="002C3B12"/>
    <w:rsid w:val="002C4AD9"/>
    <w:rsid w:val="00313AF2"/>
    <w:rsid w:val="0036533C"/>
    <w:rsid w:val="003A39E1"/>
    <w:rsid w:val="003B35FD"/>
    <w:rsid w:val="003B694D"/>
    <w:rsid w:val="003E5D39"/>
    <w:rsid w:val="003E6822"/>
    <w:rsid w:val="00402D03"/>
    <w:rsid w:val="00426A9D"/>
    <w:rsid w:val="00483139"/>
    <w:rsid w:val="004C54AF"/>
    <w:rsid w:val="004E6089"/>
    <w:rsid w:val="004F5342"/>
    <w:rsid w:val="005368FB"/>
    <w:rsid w:val="00537084"/>
    <w:rsid w:val="0055260A"/>
    <w:rsid w:val="005537AD"/>
    <w:rsid w:val="005958AE"/>
    <w:rsid w:val="00596A98"/>
    <w:rsid w:val="005A4229"/>
    <w:rsid w:val="005C7E9C"/>
    <w:rsid w:val="005D561B"/>
    <w:rsid w:val="005F1E9D"/>
    <w:rsid w:val="00600D90"/>
    <w:rsid w:val="00626A0A"/>
    <w:rsid w:val="0068452C"/>
    <w:rsid w:val="006D5FF1"/>
    <w:rsid w:val="006E2D0E"/>
    <w:rsid w:val="006E53E4"/>
    <w:rsid w:val="00753DA3"/>
    <w:rsid w:val="007559D4"/>
    <w:rsid w:val="00760A7A"/>
    <w:rsid w:val="007B66AC"/>
    <w:rsid w:val="007E11DA"/>
    <w:rsid w:val="007E6377"/>
    <w:rsid w:val="007E7498"/>
    <w:rsid w:val="007F06FB"/>
    <w:rsid w:val="007F6696"/>
    <w:rsid w:val="00800315"/>
    <w:rsid w:val="00831FA5"/>
    <w:rsid w:val="00832EE0"/>
    <w:rsid w:val="008928BE"/>
    <w:rsid w:val="008A0CAD"/>
    <w:rsid w:val="008C3BEF"/>
    <w:rsid w:val="008E6D19"/>
    <w:rsid w:val="008E73D3"/>
    <w:rsid w:val="008F4914"/>
    <w:rsid w:val="00943EAB"/>
    <w:rsid w:val="00944314"/>
    <w:rsid w:val="00961845"/>
    <w:rsid w:val="00975563"/>
    <w:rsid w:val="009A1CC8"/>
    <w:rsid w:val="009B18DA"/>
    <w:rsid w:val="009D3E64"/>
    <w:rsid w:val="009D7715"/>
    <w:rsid w:val="009D7BA4"/>
    <w:rsid w:val="00A020E4"/>
    <w:rsid w:val="00A12919"/>
    <w:rsid w:val="00A30184"/>
    <w:rsid w:val="00A377DF"/>
    <w:rsid w:val="00A37E3A"/>
    <w:rsid w:val="00AA5D16"/>
    <w:rsid w:val="00AF02FB"/>
    <w:rsid w:val="00AF21AE"/>
    <w:rsid w:val="00B37FB8"/>
    <w:rsid w:val="00B54DE2"/>
    <w:rsid w:val="00B7085B"/>
    <w:rsid w:val="00B71301"/>
    <w:rsid w:val="00BB5592"/>
    <w:rsid w:val="00BB581F"/>
    <w:rsid w:val="00BC3A72"/>
    <w:rsid w:val="00BD2B12"/>
    <w:rsid w:val="00BD4A5F"/>
    <w:rsid w:val="00C10AF4"/>
    <w:rsid w:val="00C14C21"/>
    <w:rsid w:val="00C2151B"/>
    <w:rsid w:val="00C23047"/>
    <w:rsid w:val="00C23FC5"/>
    <w:rsid w:val="00C43D41"/>
    <w:rsid w:val="00C87A21"/>
    <w:rsid w:val="00C93AFE"/>
    <w:rsid w:val="00CC072F"/>
    <w:rsid w:val="00CC2B76"/>
    <w:rsid w:val="00CC3278"/>
    <w:rsid w:val="00CC4EAB"/>
    <w:rsid w:val="00D254B6"/>
    <w:rsid w:val="00D46B1B"/>
    <w:rsid w:val="00D56ED5"/>
    <w:rsid w:val="00D6217F"/>
    <w:rsid w:val="00D93576"/>
    <w:rsid w:val="00DC2AC5"/>
    <w:rsid w:val="00E0357B"/>
    <w:rsid w:val="00E23374"/>
    <w:rsid w:val="00E50227"/>
    <w:rsid w:val="00E64E06"/>
    <w:rsid w:val="00E81955"/>
    <w:rsid w:val="00EB07DD"/>
    <w:rsid w:val="00EC3599"/>
    <w:rsid w:val="00EF0369"/>
    <w:rsid w:val="00EF68CB"/>
    <w:rsid w:val="00F11324"/>
    <w:rsid w:val="00F32009"/>
    <w:rsid w:val="00F42C5F"/>
    <w:rsid w:val="00F565B6"/>
    <w:rsid w:val="00F62D78"/>
    <w:rsid w:val="00F93536"/>
    <w:rsid w:val="00FB7BBB"/>
    <w:rsid w:val="00FD49BC"/>
    <w:rsid w:val="00FD5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29BF9"/>
  <w15:docId w15:val="{A142670C-9467-4432-AFF5-5DFEF092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5"/>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5"/>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5"/>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Voetnoottekst">
    <w:name w:val="footnote text"/>
    <w:basedOn w:val="Standaard"/>
    <w:link w:val="VoetnoottekstChar"/>
    <w:uiPriority w:val="99"/>
    <w:semiHidden/>
    <w:unhideWhenUsed/>
    <w:rsid w:val="0055260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5260A"/>
    <w:rPr>
      <w:rFonts w:ascii="Verdana" w:hAnsi="Verdana"/>
      <w:color w:val="000000"/>
    </w:rPr>
  </w:style>
  <w:style w:type="character" w:styleId="Voetnootmarkering">
    <w:name w:val="footnote reference"/>
    <w:basedOn w:val="Standaardalinea-lettertype"/>
    <w:uiPriority w:val="99"/>
    <w:semiHidden/>
    <w:unhideWhenUsed/>
    <w:rsid w:val="0055260A"/>
    <w:rPr>
      <w:vertAlign w:val="superscript"/>
    </w:rPr>
  </w:style>
  <w:style w:type="paragraph" w:customStyle="1" w:styleId="Default">
    <w:name w:val="Default"/>
    <w:rsid w:val="003A39E1"/>
    <w:pPr>
      <w:autoSpaceDE w:val="0"/>
      <w:adjustRightInd w:val="0"/>
      <w:textAlignment w:val="auto"/>
    </w:pPr>
    <w:rPr>
      <w:rFonts w:ascii="Calibri" w:hAnsi="Calibri" w:cs="Calibri"/>
      <w:color w:val="000000"/>
      <w:sz w:val="24"/>
      <w:szCs w:val="24"/>
    </w:rPr>
  </w:style>
  <w:style w:type="paragraph" w:styleId="Koptekst">
    <w:name w:val="header"/>
    <w:basedOn w:val="Standaard"/>
    <w:link w:val="KoptekstChar"/>
    <w:uiPriority w:val="99"/>
    <w:unhideWhenUsed/>
    <w:rsid w:val="006E2D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2D0E"/>
    <w:rPr>
      <w:rFonts w:ascii="Verdana" w:hAnsi="Verdana"/>
      <w:color w:val="000000"/>
      <w:sz w:val="18"/>
      <w:szCs w:val="18"/>
    </w:rPr>
  </w:style>
  <w:style w:type="paragraph" w:styleId="Voettekst">
    <w:name w:val="footer"/>
    <w:basedOn w:val="Standaard"/>
    <w:link w:val="VoettekstChar"/>
    <w:uiPriority w:val="99"/>
    <w:unhideWhenUsed/>
    <w:rsid w:val="006E2D0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E2D0E"/>
    <w:rPr>
      <w:rFonts w:ascii="Verdana" w:hAnsi="Verdana"/>
      <w:color w:val="000000"/>
      <w:sz w:val="18"/>
      <w:szCs w:val="18"/>
    </w:rPr>
  </w:style>
  <w:style w:type="character" w:styleId="Verwijzingopmerking">
    <w:name w:val="annotation reference"/>
    <w:basedOn w:val="Standaardalinea-lettertype"/>
    <w:uiPriority w:val="99"/>
    <w:semiHidden/>
    <w:unhideWhenUsed/>
    <w:rsid w:val="00A020E4"/>
    <w:rPr>
      <w:sz w:val="16"/>
      <w:szCs w:val="16"/>
    </w:rPr>
  </w:style>
  <w:style w:type="paragraph" w:styleId="Tekstopmerking">
    <w:name w:val="annotation text"/>
    <w:basedOn w:val="Standaard"/>
    <w:link w:val="TekstopmerkingChar"/>
    <w:uiPriority w:val="99"/>
    <w:unhideWhenUsed/>
    <w:rsid w:val="00A020E4"/>
    <w:pPr>
      <w:spacing w:line="240" w:lineRule="auto"/>
    </w:pPr>
    <w:rPr>
      <w:sz w:val="20"/>
      <w:szCs w:val="20"/>
    </w:rPr>
  </w:style>
  <w:style w:type="character" w:customStyle="1" w:styleId="TekstopmerkingChar">
    <w:name w:val="Tekst opmerking Char"/>
    <w:basedOn w:val="Standaardalinea-lettertype"/>
    <w:link w:val="Tekstopmerking"/>
    <w:uiPriority w:val="99"/>
    <w:rsid w:val="00A020E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020E4"/>
    <w:rPr>
      <w:b/>
      <w:bCs/>
    </w:rPr>
  </w:style>
  <w:style w:type="character" w:customStyle="1" w:styleId="OnderwerpvanopmerkingChar">
    <w:name w:val="Onderwerp van opmerking Char"/>
    <w:basedOn w:val="TekstopmerkingChar"/>
    <w:link w:val="Onderwerpvanopmerking"/>
    <w:uiPriority w:val="99"/>
    <w:semiHidden/>
    <w:rsid w:val="00A020E4"/>
    <w:rPr>
      <w:rFonts w:ascii="Verdana" w:hAnsi="Verdana"/>
      <w:b/>
      <w:bCs/>
      <w:color w:val="000000"/>
    </w:rPr>
  </w:style>
  <w:style w:type="paragraph" w:styleId="Ballontekst">
    <w:name w:val="Balloon Text"/>
    <w:basedOn w:val="Standaard"/>
    <w:link w:val="BallontekstChar"/>
    <w:uiPriority w:val="99"/>
    <w:semiHidden/>
    <w:unhideWhenUsed/>
    <w:rsid w:val="00A020E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020E4"/>
    <w:rPr>
      <w:rFonts w:ascii="Segoe UI" w:hAnsi="Segoe UI" w:cs="Segoe UI"/>
      <w:color w:val="000000"/>
      <w:sz w:val="18"/>
      <w:szCs w:val="18"/>
    </w:rPr>
  </w:style>
  <w:style w:type="paragraph" w:styleId="Revisie">
    <w:name w:val="Revision"/>
    <w:hidden/>
    <w:uiPriority w:val="99"/>
    <w:semiHidden/>
    <w:rsid w:val="005C7E9C"/>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C87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0/10/01/verzamelbrief-ao-verkeersveiligheid-8-oktober-202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olte\AppData\Local\Microsoft\Windows\INetCache\IE\MSMCJ6PS\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8159-3B4F-4A58-B46C-50AF8E6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Parlement.dotx</Template>
  <TotalTime>1</TotalTime>
  <Pages>4</Pages>
  <Words>1680</Words>
  <Characters>9242</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Stolte, B.J. (Bart) - BSK</dc:creator>
  <cp:lastModifiedBy>Helene Sopnel</cp:lastModifiedBy>
  <cp:revision>2</cp:revision>
  <dcterms:created xsi:type="dcterms:W3CDTF">2020-10-07T18:27:00Z</dcterms:created>
  <dcterms:modified xsi:type="dcterms:W3CDTF">2020-10-07T18:27:00Z</dcterms:modified>
</cp:coreProperties>
</file>