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108" w:type="dxa"/>
        <w:tblLayout w:type="fixed"/>
        <w:tblLook w:val="07E0" w:firstRow="1" w:lastRow="1" w:firstColumn="1" w:lastColumn="1" w:noHBand="1" w:noVBand="1"/>
      </w:tblPr>
      <w:tblGrid>
        <w:gridCol w:w="8108"/>
      </w:tblGrid>
      <w:tr w:rsidR="00A135CF" w14:paraId="62C6D925" w14:textId="77777777">
        <w:tc>
          <w:tcPr>
            <w:tcW w:w="360" w:type="dxa"/>
          </w:tcPr>
          <w:p w14:paraId="4B723C1F" w14:textId="77777777" w:rsidR="00A135CF" w:rsidRDefault="00D108F7">
            <w:bookmarkStart w:id="0" w:name="_GoBack"/>
            <w:bookmarkEnd w:id="0"/>
            <w:r>
              <w:t xml:space="preserve">Ontwerpbesluit van </w:t>
            </w:r>
          </w:p>
          <w:p w14:paraId="78795BE2" w14:textId="77777777" w:rsidR="00A135CF" w:rsidRDefault="00590ACF" w:rsidP="00590ACF">
            <w:r>
              <w:t>tot wijziging van het Besluit kinderopvangtoeslag in verband met de indexatie van de toetsingsinkomens en de maximum uurprijzen voor de dagopvang, buitenschoolse opvang en gastouderopvang en de verruiming van de koppeling gewerkte uren voor buitenschoolse opvang</w:t>
            </w:r>
          </w:p>
        </w:tc>
      </w:tr>
    </w:tbl>
    <w:p w14:paraId="01855DF3" w14:textId="77777777" w:rsidR="00A135CF" w:rsidRDefault="00A135CF"/>
    <w:p w14:paraId="7471F044" w14:textId="3AB3614B" w:rsidR="00A135CF" w:rsidRDefault="00D108F7">
      <w:r>
        <w:t xml:space="preserve">Op de voordracht van Onze Minister van Sociale Zaken en Werkgelegenheid van </w:t>
      </w:r>
      <w:r>
        <w:fldChar w:fldCharType="begin">
          <w:ffData>
            <w:name w:val=""/>
            <w:enabled/>
            <w:calcOnExit w:val="0"/>
            <w:textInput/>
          </w:ffData>
        </w:fldChar>
      </w:r>
      <w:r>
        <w:instrText>FORMTEXT</w:instrText>
      </w:r>
      <w:r>
        <w:fldChar w:fldCharType="separate"/>
      </w:r>
      <w:r>
        <w:t>datum openlaten</w:t>
      </w:r>
      <w:r>
        <w:fldChar w:fldCharType="end"/>
      </w:r>
      <w:r>
        <w:t>, nr. </w:t>
      </w:r>
      <w:r>
        <w:fldChar w:fldCharType="begin">
          <w:ffData>
            <w:name w:val=""/>
            <w:enabled/>
            <w:calcOnExit w:val="0"/>
            <w:textInput/>
          </w:ffData>
        </w:fldChar>
      </w:r>
      <w:r>
        <w:instrText>FORMTEXT</w:instrText>
      </w:r>
      <w:r>
        <w:fldChar w:fldCharType="separate"/>
      </w:r>
      <w:r>
        <w:t>nr. invullen</w:t>
      </w:r>
      <w:r>
        <w:fldChar w:fldCharType="end"/>
      </w:r>
      <w:r w:rsidR="00590ACF">
        <w:t>, gedaan mede namens de Staatssecretaris van Financiën;</w:t>
      </w:r>
    </w:p>
    <w:p w14:paraId="521B5B5C" w14:textId="77777777" w:rsidR="00A135CF" w:rsidRDefault="00A135CF"/>
    <w:p w14:paraId="7E8CCB22" w14:textId="77777777" w:rsidR="00A135CF" w:rsidRDefault="00D108F7">
      <w:r>
        <w:t>Gelet op </w:t>
      </w:r>
      <w:r w:rsidR="00590ACF">
        <w:t xml:space="preserve">de artikelen </w:t>
      </w:r>
      <w:r w:rsidR="00D45538">
        <w:t xml:space="preserve">1.7, derde lid, </w:t>
      </w:r>
      <w:r w:rsidR="00590ACF">
        <w:t>1.8, eerste lid, en 1.9, eerste lid, van de Wet kinderopvang</w:t>
      </w:r>
      <w:r>
        <w:t>;</w:t>
      </w:r>
    </w:p>
    <w:p w14:paraId="7A59DB13" w14:textId="77777777" w:rsidR="00A135CF" w:rsidRDefault="00A135CF"/>
    <w:p w14:paraId="64364E54" w14:textId="77777777" w:rsidR="00A135CF" w:rsidRDefault="00D108F7">
      <w:r>
        <w:t>De Afdeling advisering van de Raad van State gehoord (advies van);</w:t>
      </w:r>
    </w:p>
    <w:p w14:paraId="1267D20C" w14:textId="77777777" w:rsidR="00A135CF" w:rsidRDefault="00A135CF"/>
    <w:p w14:paraId="33F1CE8F" w14:textId="0EA855D0" w:rsidR="00A135CF" w:rsidRDefault="00D108F7">
      <w:r>
        <w:t xml:space="preserve">Gezien het nader rapport van Onze Minister van Sociale Zaken en Werkgelegenheid van [niet invullen], </w:t>
      </w:r>
      <w:r w:rsidR="00590ACF">
        <w:t>uitgebracht mede namens de Staatssecretaris van Financiën</w:t>
      </w:r>
      <w:r>
        <w:t>,</w:t>
      </w:r>
    </w:p>
    <w:p w14:paraId="5E8E0044" w14:textId="77777777" w:rsidR="00A135CF" w:rsidRDefault="00A135CF"/>
    <w:p w14:paraId="08AD1303" w14:textId="77777777" w:rsidR="00A135CF" w:rsidRDefault="00D108F7" w:rsidP="00B15D8C">
      <w:r>
        <w:rPr>
          <w:b/>
        </w:rPr>
        <w:t>HEBBEN GOEDGEVONDEN EN VERSTAAN:</w:t>
      </w:r>
    </w:p>
    <w:p w14:paraId="72BF198D" w14:textId="77777777" w:rsidR="00A135CF" w:rsidRDefault="00A135CF" w:rsidP="00B15D8C"/>
    <w:p w14:paraId="284430A8" w14:textId="77777777" w:rsidR="00590ACF" w:rsidRDefault="00590ACF" w:rsidP="00B15D8C">
      <w:pPr>
        <w:rPr>
          <w:b/>
        </w:rPr>
      </w:pPr>
      <w:r>
        <w:rPr>
          <w:b/>
        </w:rPr>
        <w:t>Artikel I</w:t>
      </w:r>
    </w:p>
    <w:p w14:paraId="5B0B6F60" w14:textId="77777777" w:rsidR="00590ACF" w:rsidRDefault="00590ACF" w:rsidP="00B15D8C"/>
    <w:p w14:paraId="60BCA79D" w14:textId="77777777" w:rsidR="00590ACF" w:rsidRDefault="00590ACF" w:rsidP="00B15D8C">
      <w:pPr>
        <w:rPr>
          <w:color w:val="auto"/>
          <w:szCs w:val="20"/>
        </w:rPr>
      </w:pPr>
      <w:r>
        <w:t>Het Besluit kinderopvangtoeslag wordt als volgt gewijzigd:</w:t>
      </w:r>
      <w:r>
        <w:br/>
      </w:r>
      <w:r>
        <w:br/>
        <w:t>A</w:t>
      </w:r>
    </w:p>
    <w:p w14:paraId="407727E6" w14:textId="77777777" w:rsidR="00590ACF" w:rsidRDefault="00590ACF" w:rsidP="00B15D8C">
      <w:r>
        <w:br/>
        <w:t>Artikel 4, eerste lid, komt te luiden:</w:t>
      </w:r>
      <w:r>
        <w:br/>
      </w:r>
    </w:p>
    <w:p w14:paraId="364271AE" w14:textId="77777777" w:rsidR="00590ACF" w:rsidRDefault="00590ACF" w:rsidP="00B15D8C">
      <w:r>
        <w:t>1. De maximum uurprijs bedraagt voor:</w:t>
      </w:r>
      <w:r>
        <w:br/>
        <w:t xml:space="preserve">a. dagopvang € </w:t>
      </w:r>
      <w:r w:rsidR="006D41E5">
        <w:t>8,50</w:t>
      </w:r>
      <w:r>
        <w:t xml:space="preserve">; </w:t>
      </w:r>
    </w:p>
    <w:p w14:paraId="2E0FF2DC" w14:textId="77777777" w:rsidR="00590ACF" w:rsidRDefault="00590ACF" w:rsidP="00B15D8C">
      <w:r>
        <w:t xml:space="preserve">b. buitenschoolse opvang € </w:t>
      </w:r>
      <w:r w:rsidR="006D41E5">
        <w:t>7,31</w:t>
      </w:r>
      <w:r>
        <w:t>; en</w:t>
      </w:r>
    </w:p>
    <w:p w14:paraId="34E4A2D0" w14:textId="77777777" w:rsidR="00590ACF" w:rsidRDefault="00590ACF" w:rsidP="00B15D8C">
      <w:r>
        <w:t xml:space="preserve">c. gastouderopvang € </w:t>
      </w:r>
      <w:r w:rsidR="006D41E5">
        <w:t>6,52</w:t>
      </w:r>
      <w:r>
        <w:t>.</w:t>
      </w:r>
    </w:p>
    <w:p w14:paraId="4246C494" w14:textId="77777777" w:rsidR="00A135CF" w:rsidRDefault="00A135CF" w:rsidP="00B15D8C"/>
    <w:p w14:paraId="2FF03264" w14:textId="77777777" w:rsidR="00590ACF" w:rsidRDefault="00590ACF" w:rsidP="00B15D8C">
      <w:r>
        <w:t>B</w:t>
      </w:r>
    </w:p>
    <w:p w14:paraId="2CC9EAE4" w14:textId="77777777" w:rsidR="00171545" w:rsidRDefault="00171545" w:rsidP="00B15D8C"/>
    <w:p w14:paraId="5944E805" w14:textId="77777777" w:rsidR="00171545" w:rsidRDefault="00171545" w:rsidP="00B15D8C">
      <w:r>
        <w:t>Na artikel 5 wordt een artikel ingevoegd, luidende:</w:t>
      </w:r>
    </w:p>
    <w:p w14:paraId="4385F4B0" w14:textId="77777777" w:rsidR="00171545" w:rsidRDefault="00171545" w:rsidP="00B15D8C"/>
    <w:p w14:paraId="0508DADC" w14:textId="77777777" w:rsidR="00171545" w:rsidRDefault="00171545" w:rsidP="00B15D8C">
      <w:r>
        <w:t>Artikel 5a</w:t>
      </w:r>
    </w:p>
    <w:p w14:paraId="3FC0D202" w14:textId="77777777" w:rsidR="00171545" w:rsidRDefault="005619A1" w:rsidP="00B15D8C">
      <w:r w:rsidRPr="005619A1">
        <w:t>In afwijking van artikel 5 worden de bedragen, bedoeld in artikel 4, eerste lid, voor het berekeningsjaar 2022 geïndexeerd met 0,51%.</w:t>
      </w:r>
    </w:p>
    <w:p w14:paraId="63457762" w14:textId="77777777" w:rsidR="000F5B79" w:rsidRDefault="000F5B79" w:rsidP="00B15D8C"/>
    <w:p w14:paraId="6D1009F9" w14:textId="77777777" w:rsidR="00E12D87" w:rsidRDefault="00E12D87" w:rsidP="00B15D8C"/>
    <w:p w14:paraId="7B01D093" w14:textId="24BC7638" w:rsidR="00171545" w:rsidRDefault="00171545" w:rsidP="00B15D8C">
      <w:r>
        <w:lastRenderedPageBreak/>
        <w:t>C</w:t>
      </w:r>
      <w:r>
        <w:br/>
      </w:r>
    </w:p>
    <w:p w14:paraId="0FAB9FC6" w14:textId="77777777" w:rsidR="000F5B79" w:rsidRDefault="000F5B79" w:rsidP="00B15D8C">
      <w:r>
        <w:t>Artikel 7a vervalt.</w:t>
      </w:r>
    </w:p>
    <w:p w14:paraId="461D38E2" w14:textId="77777777" w:rsidR="000F5B79" w:rsidRDefault="00171545" w:rsidP="00B15D8C">
      <w:r>
        <w:br/>
        <w:t>D</w:t>
      </w:r>
    </w:p>
    <w:p w14:paraId="6A1C1AA7" w14:textId="77777777" w:rsidR="00590ACF" w:rsidRDefault="00590ACF" w:rsidP="00B15D8C"/>
    <w:p w14:paraId="53376FBA" w14:textId="77777777" w:rsidR="007F4E46" w:rsidRPr="00C93361" w:rsidRDefault="00AC2039" w:rsidP="00B15D8C">
      <w:pPr>
        <w:pStyle w:val="wat"/>
        <w:shd w:val="clear" w:color="auto" w:fill="FFFFFF"/>
        <w:spacing w:after="0" w:line="240" w:lineRule="atLeast"/>
        <w:rPr>
          <w:rFonts w:ascii="Verdana" w:hAnsi="Verdana" w:cs="Arial"/>
          <w:sz w:val="18"/>
          <w:szCs w:val="18"/>
        </w:rPr>
      </w:pPr>
      <w:r w:rsidRPr="00C93361">
        <w:rPr>
          <w:rFonts w:ascii="Verdana" w:hAnsi="Verdana" w:cs="Arial"/>
          <w:sz w:val="18"/>
          <w:szCs w:val="18"/>
        </w:rPr>
        <w:t>In a</w:t>
      </w:r>
      <w:r w:rsidR="007F4E46" w:rsidRPr="00C93361">
        <w:rPr>
          <w:rFonts w:ascii="Verdana" w:hAnsi="Verdana" w:cs="Arial"/>
          <w:sz w:val="18"/>
          <w:szCs w:val="18"/>
        </w:rPr>
        <w:t xml:space="preserve">rtikel 8, derde lid, </w:t>
      </w:r>
      <w:r w:rsidRPr="00C93361">
        <w:rPr>
          <w:rFonts w:ascii="Verdana" w:hAnsi="Verdana" w:cs="Arial"/>
          <w:sz w:val="18"/>
          <w:szCs w:val="18"/>
        </w:rPr>
        <w:t>wordt ‘€ 129.457’ vervangen door ‘</w:t>
      </w:r>
      <w:r w:rsidR="007F4E46" w:rsidRPr="00C93361">
        <w:rPr>
          <w:rFonts w:ascii="Verdana" w:hAnsi="Verdana" w:cs="Arial"/>
          <w:sz w:val="18"/>
          <w:szCs w:val="18"/>
        </w:rPr>
        <w:t xml:space="preserve">€ </w:t>
      </w:r>
      <w:r w:rsidR="00FE3ACD" w:rsidRPr="00C93361">
        <w:rPr>
          <w:rFonts w:ascii="Verdana" w:hAnsi="Verdana" w:cs="Arial"/>
          <w:sz w:val="18"/>
          <w:szCs w:val="18"/>
        </w:rPr>
        <w:t>127.939</w:t>
      </w:r>
      <w:r w:rsidR="00BF464C" w:rsidRPr="00C93361">
        <w:rPr>
          <w:rFonts w:ascii="Verdana" w:hAnsi="Verdana" w:cs="Arial"/>
          <w:sz w:val="18"/>
          <w:szCs w:val="18"/>
        </w:rPr>
        <w:t>’</w:t>
      </w:r>
      <w:r w:rsidR="007F4E46" w:rsidRPr="00C93361">
        <w:rPr>
          <w:rFonts w:ascii="Verdana" w:hAnsi="Verdana" w:cs="Arial"/>
          <w:sz w:val="18"/>
          <w:szCs w:val="18"/>
        </w:rPr>
        <w:t xml:space="preserve">. </w:t>
      </w:r>
    </w:p>
    <w:p w14:paraId="10C62477" w14:textId="77777777" w:rsidR="00B15D8C" w:rsidRDefault="00B15D8C" w:rsidP="00B15D8C"/>
    <w:p w14:paraId="1C71A04E" w14:textId="77777777" w:rsidR="00AA301D" w:rsidRDefault="00171545" w:rsidP="00B15D8C">
      <w:r>
        <w:t>E</w:t>
      </w:r>
    </w:p>
    <w:p w14:paraId="4E1F9738" w14:textId="77777777" w:rsidR="00CE16B0" w:rsidRPr="00CE16B0" w:rsidRDefault="00CE16B0" w:rsidP="00B15D8C"/>
    <w:p w14:paraId="2CF912BE" w14:textId="77777777" w:rsidR="00AA301D" w:rsidRDefault="00AA301D" w:rsidP="00B15D8C">
      <w:r>
        <w:t>In artikel 8</w:t>
      </w:r>
      <w:r w:rsidR="007F4E46">
        <w:t>a</w:t>
      </w:r>
      <w:r>
        <w:t>, eerste lid, onderdeel b, onder 2°, wordt ‘70 procent’ vervangen door ‘140 procent’.</w:t>
      </w:r>
    </w:p>
    <w:p w14:paraId="6A50BCDE" w14:textId="77777777" w:rsidR="00590ACF" w:rsidRDefault="00590ACF" w:rsidP="00B15D8C">
      <w:pPr>
        <w:pStyle w:val="wat"/>
        <w:shd w:val="clear" w:color="auto" w:fill="FFFFFF"/>
        <w:spacing w:after="0" w:line="240" w:lineRule="atLeast"/>
        <w:rPr>
          <w:rFonts w:ascii="Verdana" w:hAnsi="Verdana" w:cs="Arial"/>
          <w:color w:val="333333"/>
          <w:sz w:val="18"/>
          <w:szCs w:val="18"/>
        </w:rPr>
      </w:pPr>
    </w:p>
    <w:p w14:paraId="366A732E" w14:textId="77777777" w:rsidR="00CE16B0" w:rsidRPr="00C93361" w:rsidRDefault="00171545" w:rsidP="00B15D8C">
      <w:pPr>
        <w:pStyle w:val="wat"/>
        <w:shd w:val="clear" w:color="auto" w:fill="FFFFFF"/>
        <w:spacing w:after="0" w:line="240" w:lineRule="atLeast"/>
        <w:rPr>
          <w:rFonts w:ascii="Verdana" w:hAnsi="Verdana" w:cs="Arial"/>
          <w:sz w:val="18"/>
          <w:szCs w:val="18"/>
        </w:rPr>
      </w:pPr>
      <w:r w:rsidRPr="00C93361">
        <w:rPr>
          <w:rFonts w:ascii="Verdana" w:hAnsi="Verdana" w:cs="Arial"/>
          <w:sz w:val="18"/>
          <w:szCs w:val="18"/>
        </w:rPr>
        <w:t>F</w:t>
      </w:r>
    </w:p>
    <w:p w14:paraId="2CD18015" w14:textId="77777777" w:rsidR="00CE16B0" w:rsidRPr="00C93361" w:rsidRDefault="00CE16B0" w:rsidP="00B15D8C">
      <w:pPr>
        <w:pStyle w:val="wat"/>
        <w:shd w:val="clear" w:color="auto" w:fill="FFFFFF"/>
        <w:spacing w:after="0" w:line="240" w:lineRule="atLeast"/>
        <w:rPr>
          <w:rFonts w:ascii="Verdana" w:hAnsi="Verdana"/>
          <w:sz w:val="18"/>
          <w:szCs w:val="18"/>
        </w:rPr>
      </w:pPr>
      <w:r w:rsidRPr="00C93361">
        <w:rPr>
          <w:rFonts w:ascii="Verdana" w:hAnsi="Verdana"/>
          <w:sz w:val="18"/>
          <w:szCs w:val="18"/>
        </w:rPr>
        <w:t>Artikel 8b wordt als volgt gewijzigd:</w:t>
      </w:r>
    </w:p>
    <w:p w14:paraId="7C2B6D55" w14:textId="77777777" w:rsidR="00CE16B0" w:rsidRPr="00C93361" w:rsidRDefault="00CE16B0" w:rsidP="00B15D8C">
      <w:pPr>
        <w:pStyle w:val="wat"/>
        <w:shd w:val="clear" w:color="auto" w:fill="FFFFFF"/>
        <w:spacing w:after="0" w:line="240" w:lineRule="atLeast"/>
        <w:rPr>
          <w:rFonts w:ascii="Verdana" w:hAnsi="Verdana"/>
          <w:sz w:val="18"/>
          <w:szCs w:val="18"/>
        </w:rPr>
      </w:pPr>
      <w:r w:rsidRPr="00C93361">
        <w:rPr>
          <w:rStyle w:val="nr"/>
          <w:rFonts w:ascii="Verdana" w:hAnsi="Verdana"/>
          <w:sz w:val="18"/>
          <w:szCs w:val="18"/>
        </w:rPr>
        <w:t>1.</w:t>
      </w:r>
      <w:r w:rsidRPr="00C93361">
        <w:rPr>
          <w:rFonts w:ascii="Verdana" w:hAnsi="Verdana"/>
          <w:sz w:val="18"/>
          <w:szCs w:val="18"/>
        </w:rPr>
        <w:t> In het eerste lid wordt ‘</w:t>
      </w:r>
      <w:r w:rsidR="00C93361">
        <w:rPr>
          <w:rFonts w:ascii="Verdana" w:hAnsi="Verdana"/>
          <w:sz w:val="18"/>
          <w:szCs w:val="18"/>
        </w:rPr>
        <w:t xml:space="preserve">het berekeningsjaar </w:t>
      </w:r>
      <w:r w:rsidRPr="00C93361">
        <w:rPr>
          <w:rFonts w:ascii="Verdana" w:hAnsi="Verdana"/>
          <w:sz w:val="18"/>
          <w:szCs w:val="18"/>
        </w:rPr>
        <w:t xml:space="preserve">2020’ </w:t>
      </w:r>
      <w:r w:rsidR="00C93361">
        <w:rPr>
          <w:rFonts w:ascii="Verdana" w:hAnsi="Verdana"/>
          <w:sz w:val="18"/>
          <w:szCs w:val="18"/>
        </w:rPr>
        <w:t>telkens</w:t>
      </w:r>
      <w:r w:rsidRPr="00C93361">
        <w:rPr>
          <w:rFonts w:ascii="Verdana" w:hAnsi="Verdana"/>
          <w:sz w:val="18"/>
          <w:szCs w:val="18"/>
        </w:rPr>
        <w:t xml:space="preserve"> vervangen door ‘</w:t>
      </w:r>
      <w:r w:rsidR="00C93361">
        <w:rPr>
          <w:rFonts w:ascii="Verdana" w:hAnsi="Verdana"/>
          <w:sz w:val="18"/>
          <w:szCs w:val="18"/>
        </w:rPr>
        <w:t xml:space="preserve">de berekeningsjaren 2020 en </w:t>
      </w:r>
      <w:r w:rsidRPr="00C93361">
        <w:rPr>
          <w:rFonts w:ascii="Verdana" w:hAnsi="Verdana"/>
          <w:sz w:val="18"/>
          <w:szCs w:val="18"/>
        </w:rPr>
        <w:t>2021’.</w:t>
      </w:r>
    </w:p>
    <w:p w14:paraId="290E4F90" w14:textId="77777777" w:rsidR="00CE16B0" w:rsidRPr="00C93361" w:rsidRDefault="00CE16B0" w:rsidP="00B15D8C">
      <w:pPr>
        <w:pStyle w:val="wat"/>
        <w:shd w:val="clear" w:color="auto" w:fill="FFFFFF"/>
        <w:spacing w:after="0" w:line="240" w:lineRule="atLeast"/>
        <w:rPr>
          <w:rFonts w:ascii="Verdana" w:hAnsi="Verdana"/>
          <w:sz w:val="18"/>
          <w:szCs w:val="18"/>
        </w:rPr>
      </w:pPr>
      <w:r w:rsidRPr="00C93361">
        <w:rPr>
          <w:rStyle w:val="nr"/>
          <w:rFonts w:ascii="Verdana" w:hAnsi="Verdana"/>
          <w:sz w:val="18"/>
          <w:szCs w:val="18"/>
        </w:rPr>
        <w:t>2. </w:t>
      </w:r>
      <w:r w:rsidRPr="00C93361">
        <w:rPr>
          <w:rFonts w:ascii="Verdana" w:hAnsi="Verdana"/>
          <w:sz w:val="18"/>
          <w:szCs w:val="18"/>
        </w:rPr>
        <w:t xml:space="preserve">In het tweede </w:t>
      </w:r>
      <w:r w:rsidR="00C93361">
        <w:rPr>
          <w:rFonts w:ascii="Verdana" w:hAnsi="Verdana"/>
          <w:sz w:val="18"/>
          <w:szCs w:val="18"/>
        </w:rPr>
        <w:t>en</w:t>
      </w:r>
      <w:r w:rsidRPr="00C93361">
        <w:rPr>
          <w:rFonts w:ascii="Verdana" w:hAnsi="Verdana"/>
          <w:sz w:val="18"/>
          <w:szCs w:val="18"/>
        </w:rPr>
        <w:t xml:space="preserve"> derde lid wordt ‘</w:t>
      </w:r>
      <w:r w:rsidR="00C93361">
        <w:rPr>
          <w:rFonts w:ascii="Verdana" w:hAnsi="Verdana"/>
          <w:sz w:val="18"/>
          <w:szCs w:val="18"/>
        </w:rPr>
        <w:t xml:space="preserve">het berekeningsjaar </w:t>
      </w:r>
      <w:r w:rsidRPr="00C93361">
        <w:rPr>
          <w:rFonts w:ascii="Verdana" w:hAnsi="Verdana"/>
          <w:sz w:val="18"/>
          <w:szCs w:val="18"/>
        </w:rPr>
        <w:t>2020’ vervangen door ‘</w:t>
      </w:r>
      <w:r w:rsidR="00C93361">
        <w:rPr>
          <w:rFonts w:ascii="Verdana" w:hAnsi="Verdana"/>
          <w:sz w:val="18"/>
          <w:szCs w:val="18"/>
        </w:rPr>
        <w:t xml:space="preserve">de berekeningsjaren 2020 of </w:t>
      </w:r>
      <w:r w:rsidRPr="00C93361">
        <w:rPr>
          <w:rFonts w:ascii="Verdana" w:hAnsi="Verdana"/>
          <w:sz w:val="18"/>
          <w:szCs w:val="18"/>
        </w:rPr>
        <w:t>2021’.</w:t>
      </w:r>
    </w:p>
    <w:p w14:paraId="250F208E" w14:textId="77777777" w:rsidR="00B15D8C" w:rsidRDefault="00B15D8C" w:rsidP="00B15D8C">
      <w:pPr>
        <w:rPr>
          <w:rFonts w:eastAsia="Times New Roman" w:cs="Arial"/>
          <w:color w:val="auto"/>
        </w:rPr>
      </w:pPr>
    </w:p>
    <w:p w14:paraId="5060A7E0" w14:textId="77777777" w:rsidR="00590ACF" w:rsidRPr="00C93361" w:rsidRDefault="00171545" w:rsidP="00B15D8C">
      <w:pPr>
        <w:rPr>
          <w:color w:val="auto"/>
          <w:szCs w:val="20"/>
        </w:rPr>
      </w:pPr>
      <w:r w:rsidRPr="00C93361">
        <w:rPr>
          <w:rFonts w:eastAsia="Times New Roman" w:cs="Arial"/>
          <w:color w:val="auto"/>
        </w:rPr>
        <w:t>G</w:t>
      </w:r>
    </w:p>
    <w:p w14:paraId="2715105F" w14:textId="77777777" w:rsidR="00590ACF" w:rsidRDefault="00590ACF" w:rsidP="00B15D8C">
      <w:pPr>
        <w:rPr>
          <w:color w:val="auto"/>
          <w:szCs w:val="20"/>
        </w:rPr>
      </w:pPr>
    </w:p>
    <w:p w14:paraId="6E21D7BD" w14:textId="77777777" w:rsidR="00590ACF" w:rsidRDefault="00590ACF" w:rsidP="00B15D8C">
      <w:r>
        <w:t>Bijlage I</w:t>
      </w:r>
      <w:r w:rsidR="00AC2039">
        <w:t>.</w:t>
      </w:r>
      <w:r>
        <w:t xml:space="preserve"> behorende bij artikel 6 van het Besluit kinderopvangtoeslag wordt vervangen door de bijlage behorende bij dit besluit.</w:t>
      </w:r>
    </w:p>
    <w:p w14:paraId="235E5596" w14:textId="77777777" w:rsidR="00A135CF" w:rsidRDefault="00A135CF" w:rsidP="00B15D8C"/>
    <w:p w14:paraId="750632EE" w14:textId="77777777" w:rsidR="00590ACF" w:rsidRDefault="00590ACF" w:rsidP="00B15D8C">
      <w:pPr>
        <w:rPr>
          <w:b/>
          <w:color w:val="auto"/>
          <w:szCs w:val="20"/>
        </w:rPr>
      </w:pPr>
      <w:r>
        <w:rPr>
          <w:b/>
        </w:rPr>
        <w:t>Artikel II</w:t>
      </w:r>
    </w:p>
    <w:p w14:paraId="09DCD3B1" w14:textId="77777777" w:rsidR="00B15D8C" w:rsidRDefault="00590ACF" w:rsidP="00E33093">
      <w:r>
        <w:br/>
      </w:r>
      <w:r w:rsidR="00B15D8C">
        <w:t xml:space="preserve">1. </w:t>
      </w:r>
      <w:r w:rsidR="00E33093">
        <w:t>Dit besluit treedt in werking met ingang van 1 januari 2022</w:t>
      </w:r>
      <w:r w:rsidR="00B15D8C">
        <w:t>.</w:t>
      </w:r>
    </w:p>
    <w:p w14:paraId="77B1F142" w14:textId="77777777" w:rsidR="00E33093" w:rsidRDefault="00B15D8C" w:rsidP="00E33093">
      <w:r>
        <w:t>2. In afwijking van het eerste lid treedt artikel I,</w:t>
      </w:r>
      <w:r w:rsidR="00E33093">
        <w:t xml:space="preserve"> onderdeel </w:t>
      </w:r>
      <w:r>
        <w:t>F</w:t>
      </w:r>
      <w:r w:rsidR="00E33093">
        <w:t xml:space="preserve">, in werking met ingang van de dag na de datum van uitgifte van het Staatsblad waarin </w:t>
      </w:r>
      <w:r>
        <w:t xml:space="preserve">dit besluit </w:t>
      </w:r>
      <w:r w:rsidR="00E33093">
        <w:t>wordt geplaatst en werkt terug tot en met 1 januari 2021.</w:t>
      </w:r>
    </w:p>
    <w:p w14:paraId="00816784" w14:textId="77777777" w:rsidR="00590ACF" w:rsidRDefault="00590ACF" w:rsidP="00590ACF"/>
    <w:p w14:paraId="7F6CF436" w14:textId="77777777" w:rsidR="00A135CF" w:rsidRDefault="00A135CF"/>
    <w:tbl>
      <w:tblPr>
        <w:tblW w:w="8108" w:type="dxa"/>
        <w:tblLayout w:type="fixed"/>
        <w:tblLook w:val="07E0" w:firstRow="1" w:lastRow="1" w:firstColumn="1" w:lastColumn="1" w:noHBand="1" w:noVBand="1"/>
      </w:tblPr>
      <w:tblGrid>
        <w:gridCol w:w="8108"/>
      </w:tblGrid>
      <w:tr w:rsidR="00A135CF" w14:paraId="6F734257" w14:textId="77777777">
        <w:tc>
          <w:tcPr>
            <w:tcW w:w="360" w:type="dxa"/>
          </w:tcPr>
          <w:p w14:paraId="11E1C3D7" w14:textId="77777777" w:rsidR="00A135CF" w:rsidRDefault="00D108F7">
            <w:r>
              <w:t>De Minister van Sociale Zaken </w:t>
            </w:r>
          </w:p>
          <w:p w14:paraId="1D22D6AA" w14:textId="77777777" w:rsidR="00A135CF" w:rsidRDefault="00D108F7">
            <w:r>
              <w:t>en Werkgelegenheid,</w:t>
            </w:r>
          </w:p>
          <w:p w14:paraId="5C91FD24" w14:textId="77777777" w:rsidR="00A135CF" w:rsidRDefault="00A135CF"/>
          <w:p w14:paraId="67A92F8F" w14:textId="77777777" w:rsidR="00A135CF" w:rsidRDefault="00A135CF"/>
          <w:p w14:paraId="609266DA" w14:textId="77777777" w:rsidR="00A135CF" w:rsidRDefault="00A135CF"/>
          <w:p w14:paraId="6B80943B" w14:textId="77777777" w:rsidR="00A135CF" w:rsidRDefault="00A135CF"/>
          <w:p w14:paraId="3EC38FDF" w14:textId="77777777" w:rsidR="00A135CF" w:rsidRDefault="00D108F7">
            <w:r>
              <w:t>W. Koolmees</w:t>
            </w:r>
          </w:p>
        </w:tc>
      </w:tr>
    </w:tbl>
    <w:p w14:paraId="33C4E5C3" w14:textId="77777777" w:rsidR="00A135CF" w:rsidRDefault="00A135CF"/>
    <w:p w14:paraId="23AF41E2" w14:textId="6AF0BEB0" w:rsidR="00590ACF" w:rsidRDefault="00590ACF" w:rsidP="00590ACF">
      <w:r>
        <w:t>De Staatssecretaris van Financiën,</w:t>
      </w:r>
      <w:r>
        <w:br/>
      </w:r>
      <w:r>
        <w:br/>
      </w:r>
      <w:r>
        <w:br/>
      </w:r>
    </w:p>
    <w:p w14:paraId="157F3EFD" w14:textId="77777777" w:rsidR="00590ACF" w:rsidRDefault="00590ACF" w:rsidP="00590ACF">
      <w:pPr>
        <w:rPr>
          <w:color w:val="auto"/>
          <w:szCs w:val="20"/>
        </w:rPr>
      </w:pPr>
      <w:r>
        <w:br/>
        <w:t xml:space="preserve">A.C. van Huffelen </w:t>
      </w:r>
    </w:p>
    <w:p w14:paraId="4DA0391D" w14:textId="77777777" w:rsidR="00590ACF" w:rsidRDefault="00590ACF"/>
    <w:p w14:paraId="16BBF923" w14:textId="77777777" w:rsidR="00590ACF" w:rsidRDefault="00590ACF"/>
    <w:p w14:paraId="445160E6" w14:textId="77777777" w:rsidR="00590ACF" w:rsidRDefault="00590ACF"/>
    <w:p w14:paraId="08BB3688" w14:textId="1B5B882D" w:rsidR="00590ACF" w:rsidRDefault="00590ACF"/>
    <w:p w14:paraId="1127A52C" w14:textId="77777777" w:rsidR="00590ACF" w:rsidRPr="002655FA" w:rsidRDefault="00590ACF" w:rsidP="002655FA">
      <w:pPr>
        <w:spacing w:line="240" w:lineRule="auto"/>
        <w:rPr>
          <w:b/>
        </w:rPr>
      </w:pPr>
      <w:r>
        <w:rPr>
          <w:b/>
        </w:rPr>
        <w:lastRenderedPageBreak/>
        <w:t>Bijlage, behorende bij artikel I, onderdeel C.</w:t>
      </w:r>
    </w:p>
    <w:p w14:paraId="38F85171" w14:textId="77777777" w:rsidR="00590ACF" w:rsidRDefault="00590ACF" w:rsidP="00590ACF">
      <w:pPr>
        <w:rPr>
          <w:b/>
        </w:rPr>
      </w:pPr>
    </w:p>
    <w:p w14:paraId="29592854" w14:textId="77777777" w:rsidR="00590ACF" w:rsidRDefault="00590ACF" w:rsidP="00590ACF">
      <w:pPr>
        <w:rPr>
          <w:b/>
        </w:rPr>
      </w:pPr>
      <w:r>
        <w:rPr>
          <w:b/>
        </w:rPr>
        <w:t>Bijlage I, behorende bij artikel 6 van het Besluit kinderopvangtoeslag</w:t>
      </w:r>
    </w:p>
    <w:p w14:paraId="5C6CF4E8" w14:textId="77777777" w:rsidR="00590ACF" w:rsidRDefault="00590ACF" w:rsidP="00590ACF">
      <w:pPr>
        <w:rPr>
          <w:b/>
        </w:rPr>
      </w:pPr>
    </w:p>
    <w:tbl>
      <w:tblPr>
        <w:tblW w:w="4992" w:type="dxa"/>
        <w:tblCellMar>
          <w:left w:w="70" w:type="dxa"/>
          <w:right w:w="70" w:type="dxa"/>
        </w:tblCellMar>
        <w:tblLook w:val="04A0" w:firstRow="1" w:lastRow="0" w:firstColumn="1" w:lastColumn="0" w:noHBand="0" w:noVBand="1"/>
      </w:tblPr>
      <w:tblGrid>
        <w:gridCol w:w="2485"/>
        <w:gridCol w:w="1216"/>
        <w:gridCol w:w="1174"/>
        <w:gridCol w:w="1394"/>
      </w:tblGrid>
      <w:tr w:rsidR="002214C6" w:rsidRPr="002214C6" w14:paraId="7D30FB03" w14:textId="77777777" w:rsidTr="002214C6">
        <w:trPr>
          <w:trHeight w:val="270"/>
        </w:trPr>
        <w:tc>
          <w:tcPr>
            <w:tcW w:w="1208" w:type="dxa"/>
            <w:tcBorders>
              <w:top w:val="single" w:sz="4" w:space="0" w:color="auto"/>
              <w:left w:val="single" w:sz="4" w:space="0" w:color="auto"/>
              <w:bottom w:val="nil"/>
              <w:right w:val="nil"/>
            </w:tcBorders>
            <w:shd w:val="clear" w:color="auto" w:fill="auto"/>
            <w:noWrap/>
            <w:vAlign w:val="bottom"/>
            <w:hideMark/>
          </w:tcPr>
          <w:p w14:paraId="5AFC52AE" w14:textId="77777777" w:rsidR="002214C6" w:rsidRPr="002214C6" w:rsidRDefault="00BF464C" w:rsidP="002214C6">
            <w:pPr>
              <w:autoSpaceDN/>
              <w:spacing w:line="240" w:lineRule="auto"/>
              <w:textAlignment w:val="auto"/>
              <w:rPr>
                <w:rFonts w:eastAsia="Times New Roman" w:cs="Calibri"/>
              </w:rPr>
            </w:pPr>
            <w:r w:rsidRPr="00C00A72">
              <w:t>Kinderopvangtoeslagtabel 202</w:t>
            </w:r>
            <w:r w:rsidR="005D4E31">
              <w:t>2</w:t>
            </w:r>
            <w:r w:rsidR="002214C6" w:rsidRPr="002214C6">
              <w:rPr>
                <w:rFonts w:eastAsia="Times New Roman" w:cs="Calibri"/>
              </w:rPr>
              <w:t> </w:t>
            </w:r>
          </w:p>
        </w:tc>
        <w:tc>
          <w:tcPr>
            <w:tcW w:w="1216" w:type="dxa"/>
            <w:tcBorders>
              <w:top w:val="single" w:sz="4" w:space="0" w:color="auto"/>
              <w:left w:val="nil"/>
              <w:bottom w:val="nil"/>
              <w:right w:val="nil"/>
            </w:tcBorders>
            <w:shd w:val="clear" w:color="auto" w:fill="auto"/>
            <w:noWrap/>
            <w:vAlign w:val="bottom"/>
            <w:hideMark/>
          </w:tcPr>
          <w:p w14:paraId="1CFCB45B" w14:textId="77777777" w:rsidR="002214C6" w:rsidRPr="002214C6" w:rsidRDefault="002214C6" w:rsidP="002214C6">
            <w:pPr>
              <w:autoSpaceDN/>
              <w:spacing w:line="240" w:lineRule="auto"/>
              <w:textAlignment w:val="auto"/>
              <w:rPr>
                <w:rFonts w:eastAsia="Times New Roman" w:cs="Calibri"/>
              </w:rPr>
            </w:pPr>
            <w:r w:rsidRPr="002214C6">
              <w:rPr>
                <w:rFonts w:eastAsia="Times New Roman" w:cs="Calibri"/>
              </w:rPr>
              <w:t> </w:t>
            </w:r>
          </w:p>
        </w:tc>
        <w:tc>
          <w:tcPr>
            <w:tcW w:w="2568" w:type="dxa"/>
            <w:gridSpan w:val="2"/>
            <w:tcBorders>
              <w:top w:val="single" w:sz="4" w:space="0" w:color="auto"/>
              <w:left w:val="nil"/>
              <w:bottom w:val="nil"/>
              <w:right w:val="single" w:sz="4" w:space="0" w:color="000000"/>
            </w:tcBorders>
            <w:shd w:val="clear" w:color="auto" w:fill="auto"/>
            <w:noWrap/>
            <w:vAlign w:val="bottom"/>
            <w:hideMark/>
          </w:tcPr>
          <w:p w14:paraId="259FC40D" w14:textId="77777777" w:rsidR="002214C6" w:rsidRPr="002214C6" w:rsidRDefault="002214C6" w:rsidP="002214C6">
            <w:pPr>
              <w:autoSpaceDN/>
              <w:spacing w:line="240" w:lineRule="auto"/>
              <w:jc w:val="center"/>
              <w:textAlignment w:val="auto"/>
              <w:rPr>
                <w:rFonts w:eastAsia="Times New Roman" w:cs="Calibri"/>
              </w:rPr>
            </w:pPr>
            <w:r w:rsidRPr="002214C6">
              <w:rPr>
                <w:rFonts w:eastAsia="Times New Roman" w:cs="Calibri"/>
              </w:rPr>
              <w:t>Tegemoetkoming Rijk als</w:t>
            </w:r>
          </w:p>
        </w:tc>
      </w:tr>
      <w:tr w:rsidR="002214C6" w:rsidRPr="002214C6" w14:paraId="53338F68" w14:textId="77777777" w:rsidTr="002214C6">
        <w:trPr>
          <w:trHeight w:val="270"/>
        </w:trPr>
        <w:tc>
          <w:tcPr>
            <w:tcW w:w="2424" w:type="dxa"/>
            <w:gridSpan w:val="2"/>
            <w:tcBorders>
              <w:top w:val="nil"/>
              <w:left w:val="single" w:sz="4" w:space="0" w:color="auto"/>
              <w:bottom w:val="nil"/>
              <w:right w:val="nil"/>
            </w:tcBorders>
            <w:shd w:val="clear" w:color="auto" w:fill="auto"/>
            <w:noWrap/>
            <w:vAlign w:val="bottom"/>
            <w:hideMark/>
          </w:tcPr>
          <w:p w14:paraId="5B1AAF8E" w14:textId="77777777" w:rsidR="002214C6" w:rsidRPr="002214C6" w:rsidRDefault="002214C6" w:rsidP="002214C6">
            <w:pPr>
              <w:autoSpaceDN/>
              <w:spacing w:line="240" w:lineRule="auto"/>
              <w:jc w:val="center"/>
              <w:textAlignment w:val="auto"/>
              <w:rPr>
                <w:rFonts w:eastAsia="Times New Roman" w:cs="Calibri"/>
              </w:rPr>
            </w:pPr>
            <w:r w:rsidRPr="002214C6">
              <w:rPr>
                <w:rFonts w:eastAsia="Times New Roman" w:cs="Calibri"/>
              </w:rPr>
              <w:t>(gezamenlijk)</w:t>
            </w:r>
          </w:p>
        </w:tc>
        <w:tc>
          <w:tcPr>
            <w:tcW w:w="2568" w:type="dxa"/>
            <w:gridSpan w:val="2"/>
            <w:tcBorders>
              <w:top w:val="nil"/>
              <w:left w:val="nil"/>
              <w:bottom w:val="nil"/>
              <w:right w:val="single" w:sz="4" w:space="0" w:color="000000"/>
            </w:tcBorders>
            <w:shd w:val="clear" w:color="auto" w:fill="auto"/>
            <w:noWrap/>
            <w:vAlign w:val="bottom"/>
            <w:hideMark/>
          </w:tcPr>
          <w:p w14:paraId="29CDB207" w14:textId="77777777" w:rsidR="002214C6" w:rsidRPr="002214C6" w:rsidRDefault="002214C6" w:rsidP="002214C6">
            <w:pPr>
              <w:autoSpaceDN/>
              <w:spacing w:line="240" w:lineRule="auto"/>
              <w:jc w:val="center"/>
              <w:textAlignment w:val="auto"/>
              <w:rPr>
                <w:rFonts w:eastAsia="Times New Roman" w:cs="Calibri"/>
              </w:rPr>
            </w:pPr>
            <w:r w:rsidRPr="002214C6">
              <w:rPr>
                <w:rFonts w:eastAsia="Times New Roman" w:cs="Calibri"/>
              </w:rPr>
              <w:t>% van de kosten van</w:t>
            </w:r>
          </w:p>
        </w:tc>
      </w:tr>
      <w:tr w:rsidR="002214C6" w:rsidRPr="002214C6" w14:paraId="2CE18AE1" w14:textId="77777777" w:rsidTr="002214C6">
        <w:trPr>
          <w:trHeight w:val="270"/>
        </w:trPr>
        <w:tc>
          <w:tcPr>
            <w:tcW w:w="2424" w:type="dxa"/>
            <w:gridSpan w:val="2"/>
            <w:tcBorders>
              <w:top w:val="nil"/>
              <w:left w:val="single" w:sz="4" w:space="0" w:color="auto"/>
              <w:bottom w:val="nil"/>
              <w:right w:val="nil"/>
            </w:tcBorders>
            <w:shd w:val="clear" w:color="auto" w:fill="auto"/>
            <w:noWrap/>
            <w:vAlign w:val="bottom"/>
            <w:hideMark/>
          </w:tcPr>
          <w:p w14:paraId="7C1172F4" w14:textId="77777777" w:rsidR="002214C6" w:rsidRPr="002214C6" w:rsidRDefault="002214C6" w:rsidP="002214C6">
            <w:pPr>
              <w:autoSpaceDN/>
              <w:spacing w:line="240" w:lineRule="auto"/>
              <w:jc w:val="center"/>
              <w:textAlignment w:val="auto"/>
              <w:rPr>
                <w:rFonts w:eastAsia="Times New Roman" w:cs="Calibri"/>
              </w:rPr>
            </w:pPr>
            <w:r w:rsidRPr="002214C6">
              <w:rPr>
                <w:rFonts w:eastAsia="Times New Roman" w:cs="Calibri"/>
              </w:rPr>
              <w:t>toetsingsinkomen (€)</w:t>
            </w:r>
          </w:p>
        </w:tc>
        <w:tc>
          <w:tcPr>
            <w:tcW w:w="2568" w:type="dxa"/>
            <w:gridSpan w:val="2"/>
            <w:tcBorders>
              <w:top w:val="nil"/>
              <w:left w:val="nil"/>
              <w:bottom w:val="nil"/>
              <w:right w:val="single" w:sz="4" w:space="0" w:color="000000"/>
            </w:tcBorders>
            <w:shd w:val="clear" w:color="auto" w:fill="auto"/>
            <w:noWrap/>
            <w:vAlign w:val="bottom"/>
            <w:hideMark/>
          </w:tcPr>
          <w:p w14:paraId="4473E33E" w14:textId="77777777" w:rsidR="002214C6" w:rsidRPr="002214C6" w:rsidRDefault="002214C6" w:rsidP="002214C6">
            <w:pPr>
              <w:autoSpaceDN/>
              <w:spacing w:line="240" w:lineRule="auto"/>
              <w:jc w:val="center"/>
              <w:textAlignment w:val="auto"/>
              <w:rPr>
                <w:rFonts w:eastAsia="Times New Roman" w:cs="Calibri"/>
              </w:rPr>
            </w:pPr>
            <w:r w:rsidRPr="002214C6">
              <w:rPr>
                <w:rFonts w:eastAsia="Times New Roman" w:cs="Calibri"/>
              </w:rPr>
              <w:t>kinderopvang</w:t>
            </w:r>
          </w:p>
        </w:tc>
      </w:tr>
      <w:tr w:rsidR="002214C6" w:rsidRPr="002214C6" w14:paraId="16A596B0"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6399ACE8" w14:textId="77777777" w:rsidR="002214C6" w:rsidRPr="002214C6" w:rsidRDefault="002214C6" w:rsidP="002214C6">
            <w:pPr>
              <w:autoSpaceDN/>
              <w:spacing w:line="240" w:lineRule="auto"/>
              <w:textAlignment w:val="auto"/>
              <w:rPr>
                <w:rFonts w:eastAsia="Times New Roman" w:cs="Calibri"/>
              </w:rPr>
            </w:pPr>
            <w:r w:rsidRPr="002214C6">
              <w:rPr>
                <w:rFonts w:eastAsia="Times New Roman" w:cs="Calibri"/>
              </w:rPr>
              <w:t> </w:t>
            </w:r>
          </w:p>
        </w:tc>
        <w:tc>
          <w:tcPr>
            <w:tcW w:w="1216" w:type="dxa"/>
            <w:tcBorders>
              <w:top w:val="nil"/>
              <w:left w:val="nil"/>
              <w:bottom w:val="nil"/>
              <w:right w:val="nil"/>
            </w:tcBorders>
            <w:shd w:val="clear" w:color="auto" w:fill="auto"/>
            <w:noWrap/>
            <w:vAlign w:val="bottom"/>
            <w:hideMark/>
          </w:tcPr>
          <w:p w14:paraId="198B31F3" w14:textId="77777777" w:rsidR="002214C6" w:rsidRPr="002214C6" w:rsidRDefault="002214C6" w:rsidP="002214C6">
            <w:pPr>
              <w:autoSpaceDN/>
              <w:spacing w:line="240" w:lineRule="auto"/>
              <w:textAlignment w:val="auto"/>
              <w:rPr>
                <w:rFonts w:eastAsia="Times New Roman" w:cs="Calibri"/>
              </w:rPr>
            </w:pPr>
          </w:p>
        </w:tc>
        <w:tc>
          <w:tcPr>
            <w:tcW w:w="1174" w:type="dxa"/>
            <w:tcBorders>
              <w:top w:val="nil"/>
              <w:left w:val="nil"/>
              <w:bottom w:val="nil"/>
              <w:right w:val="nil"/>
            </w:tcBorders>
            <w:shd w:val="clear" w:color="auto" w:fill="auto"/>
            <w:noWrap/>
            <w:vAlign w:val="bottom"/>
            <w:hideMark/>
          </w:tcPr>
          <w:p w14:paraId="0C07FFD0" w14:textId="77777777" w:rsidR="002214C6" w:rsidRPr="002214C6" w:rsidRDefault="002214C6" w:rsidP="002214C6">
            <w:pPr>
              <w:autoSpaceDN/>
              <w:spacing w:line="240" w:lineRule="auto"/>
              <w:jc w:val="center"/>
              <w:textAlignment w:val="auto"/>
              <w:rPr>
                <w:rFonts w:eastAsia="Times New Roman" w:cs="Calibri"/>
              </w:rPr>
            </w:pPr>
            <w:r w:rsidRPr="002214C6">
              <w:rPr>
                <w:rFonts w:eastAsia="Times New Roman" w:cs="Calibri"/>
              </w:rPr>
              <w:t>eerste</w:t>
            </w:r>
          </w:p>
        </w:tc>
        <w:tc>
          <w:tcPr>
            <w:tcW w:w="1394" w:type="dxa"/>
            <w:tcBorders>
              <w:top w:val="nil"/>
              <w:left w:val="nil"/>
              <w:bottom w:val="nil"/>
              <w:right w:val="single" w:sz="4" w:space="0" w:color="auto"/>
            </w:tcBorders>
            <w:shd w:val="clear" w:color="auto" w:fill="auto"/>
            <w:noWrap/>
            <w:vAlign w:val="bottom"/>
            <w:hideMark/>
          </w:tcPr>
          <w:p w14:paraId="29ED7B72" w14:textId="77777777" w:rsidR="002214C6" w:rsidRPr="002214C6" w:rsidRDefault="002214C6" w:rsidP="002214C6">
            <w:pPr>
              <w:autoSpaceDN/>
              <w:spacing w:line="240" w:lineRule="auto"/>
              <w:jc w:val="center"/>
              <w:textAlignment w:val="auto"/>
              <w:rPr>
                <w:rFonts w:eastAsia="Times New Roman" w:cs="Calibri"/>
              </w:rPr>
            </w:pPr>
            <w:r w:rsidRPr="002214C6">
              <w:rPr>
                <w:rFonts w:eastAsia="Times New Roman" w:cs="Calibri"/>
              </w:rPr>
              <w:t>volgend</w:t>
            </w:r>
          </w:p>
        </w:tc>
      </w:tr>
      <w:tr w:rsidR="002214C6" w:rsidRPr="002214C6" w14:paraId="75BCCDA0" w14:textId="77777777" w:rsidTr="002214C6">
        <w:trPr>
          <w:trHeight w:val="270"/>
        </w:trPr>
        <w:tc>
          <w:tcPr>
            <w:tcW w:w="1208" w:type="dxa"/>
            <w:tcBorders>
              <w:top w:val="nil"/>
              <w:left w:val="single" w:sz="4" w:space="0" w:color="auto"/>
              <w:bottom w:val="single" w:sz="4" w:space="0" w:color="auto"/>
              <w:right w:val="nil"/>
            </w:tcBorders>
            <w:shd w:val="clear" w:color="auto" w:fill="auto"/>
            <w:noWrap/>
            <w:vAlign w:val="bottom"/>
            <w:hideMark/>
          </w:tcPr>
          <w:p w14:paraId="6992A258" w14:textId="77777777" w:rsidR="002214C6" w:rsidRPr="002214C6" w:rsidRDefault="002214C6" w:rsidP="002214C6">
            <w:pPr>
              <w:autoSpaceDN/>
              <w:spacing w:line="240" w:lineRule="auto"/>
              <w:textAlignment w:val="auto"/>
              <w:rPr>
                <w:rFonts w:eastAsia="Times New Roman" w:cs="Calibri"/>
              </w:rPr>
            </w:pPr>
            <w:r w:rsidRPr="002214C6">
              <w:rPr>
                <w:rFonts w:eastAsia="Times New Roman" w:cs="Calibri"/>
              </w:rPr>
              <w:t> </w:t>
            </w:r>
          </w:p>
        </w:tc>
        <w:tc>
          <w:tcPr>
            <w:tcW w:w="1216" w:type="dxa"/>
            <w:tcBorders>
              <w:top w:val="nil"/>
              <w:left w:val="nil"/>
              <w:bottom w:val="single" w:sz="4" w:space="0" w:color="auto"/>
              <w:right w:val="nil"/>
            </w:tcBorders>
            <w:shd w:val="clear" w:color="auto" w:fill="auto"/>
            <w:noWrap/>
            <w:vAlign w:val="bottom"/>
            <w:hideMark/>
          </w:tcPr>
          <w:p w14:paraId="396B03F4" w14:textId="77777777" w:rsidR="002214C6" w:rsidRPr="002214C6" w:rsidRDefault="002214C6" w:rsidP="002214C6">
            <w:pPr>
              <w:autoSpaceDN/>
              <w:spacing w:line="240" w:lineRule="auto"/>
              <w:textAlignment w:val="auto"/>
              <w:rPr>
                <w:rFonts w:eastAsia="Times New Roman" w:cs="Calibri"/>
              </w:rPr>
            </w:pPr>
            <w:r w:rsidRPr="002214C6">
              <w:rPr>
                <w:rFonts w:eastAsia="Times New Roman" w:cs="Calibri"/>
              </w:rPr>
              <w:t> </w:t>
            </w:r>
          </w:p>
        </w:tc>
        <w:tc>
          <w:tcPr>
            <w:tcW w:w="1174" w:type="dxa"/>
            <w:tcBorders>
              <w:top w:val="nil"/>
              <w:left w:val="nil"/>
              <w:bottom w:val="single" w:sz="4" w:space="0" w:color="auto"/>
              <w:right w:val="nil"/>
            </w:tcBorders>
            <w:shd w:val="clear" w:color="auto" w:fill="auto"/>
            <w:noWrap/>
            <w:vAlign w:val="bottom"/>
            <w:hideMark/>
          </w:tcPr>
          <w:p w14:paraId="59837664" w14:textId="77777777" w:rsidR="002214C6" w:rsidRPr="002214C6" w:rsidRDefault="002214C6" w:rsidP="002214C6">
            <w:pPr>
              <w:autoSpaceDN/>
              <w:spacing w:line="240" w:lineRule="auto"/>
              <w:jc w:val="center"/>
              <w:textAlignment w:val="auto"/>
              <w:rPr>
                <w:rFonts w:eastAsia="Times New Roman" w:cs="Calibri"/>
              </w:rPr>
            </w:pPr>
            <w:r w:rsidRPr="002214C6">
              <w:rPr>
                <w:rFonts w:eastAsia="Times New Roman" w:cs="Calibri"/>
              </w:rPr>
              <w:t>kind</w:t>
            </w:r>
          </w:p>
        </w:tc>
        <w:tc>
          <w:tcPr>
            <w:tcW w:w="1394" w:type="dxa"/>
            <w:tcBorders>
              <w:top w:val="nil"/>
              <w:left w:val="nil"/>
              <w:bottom w:val="single" w:sz="4" w:space="0" w:color="auto"/>
              <w:right w:val="single" w:sz="4" w:space="0" w:color="auto"/>
            </w:tcBorders>
            <w:shd w:val="clear" w:color="auto" w:fill="auto"/>
            <w:noWrap/>
            <w:vAlign w:val="bottom"/>
            <w:hideMark/>
          </w:tcPr>
          <w:p w14:paraId="2361B07F" w14:textId="77777777" w:rsidR="002214C6" w:rsidRPr="002214C6" w:rsidRDefault="002214C6" w:rsidP="002214C6">
            <w:pPr>
              <w:autoSpaceDN/>
              <w:spacing w:line="240" w:lineRule="auto"/>
              <w:jc w:val="center"/>
              <w:textAlignment w:val="auto"/>
              <w:rPr>
                <w:rFonts w:eastAsia="Times New Roman" w:cs="Calibri"/>
              </w:rPr>
            </w:pPr>
            <w:r w:rsidRPr="002214C6">
              <w:rPr>
                <w:rFonts w:eastAsia="Times New Roman" w:cs="Calibri"/>
              </w:rPr>
              <w:t>kind</w:t>
            </w:r>
          </w:p>
        </w:tc>
      </w:tr>
      <w:tr w:rsidR="002214C6" w:rsidRPr="002214C6" w14:paraId="521EC8E0"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67297CFE"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lager dan</w:t>
            </w:r>
          </w:p>
        </w:tc>
        <w:tc>
          <w:tcPr>
            <w:tcW w:w="1216" w:type="dxa"/>
            <w:tcBorders>
              <w:top w:val="nil"/>
              <w:left w:val="nil"/>
              <w:bottom w:val="nil"/>
              <w:right w:val="nil"/>
            </w:tcBorders>
            <w:shd w:val="clear" w:color="auto" w:fill="auto"/>
            <w:noWrap/>
            <w:vAlign w:val="bottom"/>
            <w:hideMark/>
          </w:tcPr>
          <w:p w14:paraId="3DACFE81"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20.584</w:t>
            </w:r>
          </w:p>
        </w:tc>
        <w:tc>
          <w:tcPr>
            <w:tcW w:w="1174" w:type="dxa"/>
            <w:tcBorders>
              <w:top w:val="nil"/>
              <w:left w:val="nil"/>
              <w:bottom w:val="nil"/>
              <w:right w:val="nil"/>
            </w:tcBorders>
            <w:shd w:val="clear" w:color="auto" w:fill="auto"/>
            <w:noWrap/>
            <w:vAlign w:val="bottom"/>
            <w:hideMark/>
          </w:tcPr>
          <w:p w14:paraId="30AC79B9"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96,0%</w:t>
            </w:r>
          </w:p>
        </w:tc>
        <w:tc>
          <w:tcPr>
            <w:tcW w:w="1394" w:type="dxa"/>
            <w:tcBorders>
              <w:top w:val="nil"/>
              <w:left w:val="nil"/>
              <w:bottom w:val="nil"/>
              <w:right w:val="single" w:sz="4" w:space="0" w:color="auto"/>
            </w:tcBorders>
            <w:shd w:val="clear" w:color="auto" w:fill="auto"/>
            <w:noWrap/>
            <w:vAlign w:val="bottom"/>
            <w:hideMark/>
          </w:tcPr>
          <w:p w14:paraId="63C68665"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96,0%</w:t>
            </w:r>
          </w:p>
        </w:tc>
      </w:tr>
      <w:tr w:rsidR="002214C6" w:rsidRPr="002214C6" w14:paraId="66A60650"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020D20B5"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20.585</w:t>
            </w:r>
          </w:p>
        </w:tc>
        <w:tc>
          <w:tcPr>
            <w:tcW w:w="1216" w:type="dxa"/>
            <w:tcBorders>
              <w:top w:val="nil"/>
              <w:left w:val="nil"/>
              <w:bottom w:val="nil"/>
              <w:right w:val="nil"/>
            </w:tcBorders>
            <w:shd w:val="clear" w:color="auto" w:fill="auto"/>
            <w:noWrap/>
            <w:vAlign w:val="bottom"/>
            <w:hideMark/>
          </w:tcPr>
          <w:p w14:paraId="4CAC5F60"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21.955</w:t>
            </w:r>
          </w:p>
        </w:tc>
        <w:tc>
          <w:tcPr>
            <w:tcW w:w="1174" w:type="dxa"/>
            <w:tcBorders>
              <w:top w:val="nil"/>
              <w:left w:val="nil"/>
              <w:bottom w:val="nil"/>
              <w:right w:val="nil"/>
            </w:tcBorders>
            <w:shd w:val="clear" w:color="auto" w:fill="auto"/>
            <w:noWrap/>
            <w:vAlign w:val="bottom"/>
            <w:hideMark/>
          </w:tcPr>
          <w:p w14:paraId="0BD3B262"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96,0%</w:t>
            </w:r>
          </w:p>
        </w:tc>
        <w:tc>
          <w:tcPr>
            <w:tcW w:w="1394" w:type="dxa"/>
            <w:tcBorders>
              <w:top w:val="nil"/>
              <w:left w:val="nil"/>
              <w:bottom w:val="nil"/>
              <w:right w:val="single" w:sz="4" w:space="0" w:color="auto"/>
            </w:tcBorders>
            <w:shd w:val="clear" w:color="auto" w:fill="auto"/>
            <w:noWrap/>
            <w:vAlign w:val="bottom"/>
            <w:hideMark/>
          </w:tcPr>
          <w:p w14:paraId="536F0F2D"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96,0%</w:t>
            </w:r>
          </w:p>
        </w:tc>
      </w:tr>
      <w:tr w:rsidR="002214C6" w:rsidRPr="002214C6" w14:paraId="3DF49386"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0A4D2A85"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21.956</w:t>
            </w:r>
          </w:p>
        </w:tc>
        <w:tc>
          <w:tcPr>
            <w:tcW w:w="1216" w:type="dxa"/>
            <w:tcBorders>
              <w:top w:val="nil"/>
              <w:left w:val="nil"/>
              <w:bottom w:val="nil"/>
              <w:right w:val="nil"/>
            </w:tcBorders>
            <w:shd w:val="clear" w:color="auto" w:fill="auto"/>
            <w:noWrap/>
            <w:vAlign w:val="bottom"/>
            <w:hideMark/>
          </w:tcPr>
          <w:p w14:paraId="4D64E2AB"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23.324</w:t>
            </w:r>
          </w:p>
        </w:tc>
        <w:tc>
          <w:tcPr>
            <w:tcW w:w="1174" w:type="dxa"/>
            <w:tcBorders>
              <w:top w:val="nil"/>
              <w:left w:val="nil"/>
              <w:bottom w:val="nil"/>
              <w:right w:val="nil"/>
            </w:tcBorders>
            <w:shd w:val="clear" w:color="auto" w:fill="auto"/>
            <w:noWrap/>
            <w:vAlign w:val="bottom"/>
            <w:hideMark/>
          </w:tcPr>
          <w:p w14:paraId="3258965C"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96,0%</w:t>
            </w:r>
          </w:p>
        </w:tc>
        <w:tc>
          <w:tcPr>
            <w:tcW w:w="1394" w:type="dxa"/>
            <w:tcBorders>
              <w:top w:val="nil"/>
              <w:left w:val="nil"/>
              <w:bottom w:val="nil"/>
              <w:right w:val="single" w:sz="4" w:space="0" w:color="auto"/>
            </w:tcBorders>
            <w:shd w:val="clear" w:color="auto" w:fill="auto"/>
            <w:noWrap/>
            <w:vAlign w:val="bottom"/>
            <w:hideMark/>
          </w:tcPr>
          <w:p w14:paraId="0B8D11E7"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96,0%</w:t>
            </w:r>
          </w:p>
        </w:tc>
      </w:tr>
      <w:tr w:rsidR="002214C6" w:rsidRPr="002214C6" w14:paraId="02194205"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6ACC55E4"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23.325</w:t>
            </w:r>
          </w:p>
        </w:tc>
        <w:tc>
          <w:tcPr>
            <w:tcW w:w="1216" w:type="dxa"/>
            <w:tcBorders>
              <w:top w:val="nil"/>
              <w:left w:val="nil"/>
              <w:bottom w:val="nil"/>
              <w:right w:val="nil"/>
            </w:tcBorders>
            <w:shd w:val="clear" w:color="auto" w:fill="auto"/>
            <w:noWrap/>
            <w:vAlign w:val="bottom"/>
            <w:hideMark/>
          </w:tcPr>
          <w:p w14:paraId="3C080058"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24.696</w:t>
            </w:r>
          </w:p>
        </w:tc>
        <w:tc>
          <w:tcPr>
            <w:tcW w:w="1174" w:type="dxa"/>
            <w:tcBorders>
              <w:top w:val="nil"/>
              <w:left w:val="nil"/>
              <w:bottom w:val="nil"/>
              <w:right w:val="nil"/>
            </w:tcBorders>
            <w:shd w:val="clear" w:color="auto" w:fill="auto"/>
            <w:noWrap/>
            <w:vAlign w:val="bottom"/>
            <w:hideMark/>
          </w:tcPr>
          <w:p w14:paraId="1A01F4D5"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96,0%</w:t>
            </w:r>
          </w:p>
        </w:tc>
        <w:tc>
          <w:tcPr>
            <w:tcW w:w="1394" w:type="dxa"/>
            <w:tcBorders>
              <w:top w:val="nil"/>
              <w:left w:val="nil"/>
              <w:bottom w:val="nil"/>
              <w:right w:val="single" w:sz="4" w:space="0" w:color="auto"/>
            </w:tcBorders>
            <w:shd w:val="clear" w:color="auto" w:fill="auto"/>
            <w:noWrap/>
            <w:vAlign w:val="bottom"/>
            <w:hideMark/>
          </w:tcPr>
          <w:p w14:paraId="581A4015"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96,0%</w:t>
            </w:r>
          </w:p>
        </w:tc>
      </w:tr>
      <w:tr w:rsidR="002214C6" w:rsidRPr="002214C6" w14:paraId="50F0964C"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1E066BDF"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24.697</w:t>
            </w:r>
          </w:p>
        </w:tc>
        <w:tc>
          <w:tcPr>
            <w:tcW w:w="1216" w:type="dxa"/>
            <w:tcBorders>
              <w:top w:val="nil"/>
              <w:left w:val="nil"/>
              <w:bottom w:val="nil"/>
              <w:right w:val="nil"/>
            </w:tcBorders>
            <w:shd w:val="clear" w:color="auto" w:fill="auto"/>
            <w:noWrap/>
            <w:vAlign w:val="bottom"/>
            <w:hideMark/>
          </w:tcPr>
          <w:p w14:paraId="77650A60"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26.066</w:t>
            </w:r>
          </w:p>
        </w:tc>
        <w:tc>
          <w:tcPr>
            <w:tcW w:w="1174" w:type="dxa"/>
            <w:tcBorders>
              <w:top w:val="nil"/>
              <w:left w:val="nil"/>
              <w:bottom w:val="nil"/>
              <w:right w:val="nil"/>
            </w:tcBorders>
            <w:shd w:val="clear" w:color="auto" w:fill="auto"/>
            <w:noWrap/>
            <w:vAlign w:val="bottom"/>
            <w:hideMark/>
          </w:tcPr>
          <w:p w14:paraId="7A4BF6D6"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96,0%</w:t>
            </w:r>
          </w:p>
        </w:tc>
        <w:tc>
          <w:tcPr>
            <w:tcW w:w="1394" w:type="dxa"/>
            <w:tcBorders>
              <w:top w:val="nil"/>
              <w:left w:val="nil"/>
              <w:bottom w:val="nil"/>
              <w:right w:val="single" w:sz="4" w:space="0" w:color="auto"/>
            </w:tcBorders>
            <w:shd w:val="clear" w:color="auto" w:fill="auto"/>
            <w:noWrap/>
            <w:vAlign w:val="bottom"/>
            <w:hideMark/>
          </w:tcPr>
          <w:p w14:paraId="4F497A95"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96,0%</w:t>
            </w:r>
          </w:p>
        </w:tc>
      </w:tr>
      <w:tr w:rsidR="002214C6" w:rsidRPr="002214C6" w14:paraId="23966FB8"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38C2B83A"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26.067</w:t>
            </w:r>
          </w:p>
        </w:tc>
        <w:tc>
          <w:tcPr>
            <w:tcW w:w="1216" w:type="dxa"/>
            <w:tcBorders>
              <w:top w:val="nil"/>
              <w:left w:val="nil"/>
              <w:bottom w:val="nil"/>
              <w:right w:val="nil"/>
            </w:tcBorders>
            <w:shd w:val="clear" w:color="auto" w:fill="auto"/>
            <w:noWrap/>
            <w:vAlign w:val="bottom"/>
            <w:hideMark/>
          </w:tcPr>
          <w:p w14:paraId="21226203"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27.437</w:t>
            </w:r>
          </w:p>
        </w:tc>
        <w:tc>
          <w:tcPr>
            <w:tcW w:w="1174" w:type="dxa"/>
            <w:tcBorders>
              <w:top w:val="nil"/>
              <w:left w:val="nil"/>
              <w:bottom w:val="nil"/>
              <w:right w:val="nil"/>
            </w:tcBorders>
            <w:shd w:val="clear" w:color="auto" w:fill="auto"/>
            <w:noWrap/>
            <w:vAlign w:val="bottom"/>
            <w:hideMark/>
          </w:tcPr>
          <w:p w14:paraId="3F16D7DE"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95,5%</w:t>
            </w:r>
          </w:p>
        </w:tc>
        <w:tc>
          <w:tcPr>
            <w:tcW w:w="1394" w:type="dxa"/>
            <w:tcBorders>
              <w:top w:val="nil"/>
              <w:left w:val="nil"/>
              <w:bottom w:val="nil"/>
              <w:right w:val="single" w:sz="4" w:space="0" w:color="auto"/>
            </w:tcBorders>
            <w:shd w:val="clear" w:color="auto" w:fill="auto"/>
            <w:noWrap/>
            <w:vAlign w:val="bottom"/>
            <w:hideMark/>
          </w:tcPr>
          <w:p w14:paraId="6A644420"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95,6%</w:t>
            </w:r>
          </w:p>
        </w:tc>
      </w:tr>
      <w:tr w:rsidR="002214C6" w:rsidRPr="002214C6" w14:paraId="3DC5CB63"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5D48B57E"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27.438</w:t>
            </w:r>
          </w:p>
        </w:tc>
        <w:tc>
          <w:tcPr>
            <w:tcW w:w="1216" w:type="dxa"/>
            <w:tcBorders>
              <w:top w:val="nil"/>
              <w:left w:val="nil"/>
              <w:bottom w:val="nil"/>
              <w:right w:val="nil"/>
            </w:tcBorders>
            <w:shd w:val="clear" w:color="auto" w:fill="auto"/>
            <w:noWrap/>
            <w:vAlign w:val="bottom"/>
            <w:hideMark/>
          </w:tcPr>
          <w:p w14:paraId="49677FD6"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28.807</w:t>
            </w:r>
          </w:p>
        </w:tc>
        <w:tc>
          <w:tcPr>
            <w:tcW w:w="1174" w:type="dxa"/>
            <w:tcBorders>
              <w:top w:val="nil"/>
              <w:left w:val="nil"/>
              <w:bottom w:val="nil"/>
              <w:right w:val="nil"/>
            </w:tcBorders>
            <w:shd w:val="clear" w:color="auto" w:fill="auto"/>
            <w:noWrap/>
            <w:vAlign w:val="bottom"/>
            <w:hideMark/>
          </w:tcPr>
          <w:p w14:paraId="229FFF26"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94,4%</w:t>
            </w:r>
          </w:p>
        </w:tc>
        <w:tc>
          <w:tcPr>
            <w:tcW w:w="1394" w:type="dxa"/>
            <w:tcBorders>
              <w:top w:val="nil"/>
              <w:left w:val="nil"/>
              <w:bottom w:val="nil"/>
              <w:right w:val="single" w:sz="4" w:space="0" w:color="auto"/>
            </w:tcBorders>
            <w:shd w:val="clear" w:color="auto" w:fill="auto"/>
            <w:noWrap/>
            <w:vAlign w:val="bottom"/>
            <w:hideMark/>
          </w:tcPr>
          <w:p w14:paraId="6F0C1670"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95,4%</w:t>
            </w:r>
          </w:p>
        </w:tc>
      </w:tr>
      <w:tr w:rsidR="002214C6" w:rsidRPr="002214C6" w14:paraId="5D150BD6"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681862D0"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28.808</w:t>
            </w:r>
          </w:p>
        </w:tc>
        <w:tc>
          <w:tcPr>
            <w:tcW w:w="1216" w:type="dxa"/>
            <w:tcBorders>
              <w:top w:val="nil"/>
              <w:left w:val="nil"/>
              <w:bottom w:val="nil"/>
              <w:right w:val="nil"/>
            </w:tcBorders>
            <w:shd w:val="clear" w:color="auto" w:fill="auto"/>
            <w:noWrap/>
            <w:vAlign w:val="bottom"/>
            <w:hideMark/>
          </w:tcPr>
          <w:p w14:paraId="0A93BB34"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30.174</w:t>
            </w:r>
          </w:p>
        </w:tc>
        <w:tc>
          <w:tcPr>
            <w:tcW w:w="1174" w:type="dxa"/>
            <w:tcBorders>
              <w:top w:val="nil"/>
              <w:left w:val="nil"/>
              <w:bottom w:val="nil"/>
              <w:right w:val="nil"/>
            </w:tcBorders>
            <w:shd w:val="clear" w:color="auto" w:fill="auto"/>
            <w:noWrap/>
            <w:vAlign w:val="bottom"/>
            <w:hideMark/>
          </w:tcPr>
          <w:p w14:paraId="6081741C"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93,4%</w:t>
            </w:r>
          </w:p>
        </w:tc>
        <w:tc>
          <w:tcPr>
            <w:tcW w:w="1394" w:type="dxa"/>
            <w:tcBorders>
              <w:top w:val="nil"/>
              <w:left w:val="nil"/>
              <w:bottom w:val="nil"/>
              <w:right w:val="single" w:sz="4" w:space="0" w:color="auto"/>
            </w:tcBorders>
            <w:shd w:val="clear" w:color="auto" w:fill="auto"/>
            <w:noWrap/>
            <w:vAlign w:val="bottom"/>
            <w:hideMark/>
          </w:tcPr>
          <w:p w14:paraId="6150352E"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95,2%</w:t>
            </w:r>
          </w:p>
        </w:tc>
      </w:tr>
      <w:tr w:rsidR="002214C6" w:rsidRPr="002214C6" w14:paraId="55D0F332"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0B7400B0"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30.175</w:t>
            </w:r>
          </w:p>
        </w:tc>
        <w:tc>
          <w:tcPr>
            <w:tcW w:w="1216" w:type="dxa"/>
            <w:tcBorders>
              <w:top w:val="nil"/>
              <w:left w:val="nil"/>
              <w:bottom w:val="nil"/>
              <w:right w:val="nil"/>
            </w:tcBorders>
            <w:shd w:val="clear" w:color="auto" w:fill="auto"/>
            <w:noWrap/>
            <w:vAlign w:val="bottom"/>
            <w:hideMark/>
          </w:tcPr>
          <w:p w14:paraId="7C4B21A5"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31.648</w:t>
            </w:r>
          </w:p>
        </w:tc>
        <w:tc>
          <w:tcPr>
            <w:tcW w:w="1174" w:type="dxa"/>
            <w:tcBorders>
              <w:top w:val="nil"/>
              <w:left w:val="nil"/>
              <w:bottom w:val="nil"/>
              <w:right w:val="nil"/>
            </w:tcBorders>
            <w:shd w:val="clear" w:color="auto" w:fill="auto"/>
            <w:noWrap/>
            <w:vAlign w:val="bottom"/>
            <w:hideMark/>
          </w:tcPr>
          <w:p w14:paraId="6956C29B"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92,5%</w:t>
            </w:r>
          </w:p>
        </w:tc>
        <w:tc>
          <w:tcPr>
            <w:tcW w:w="1394" w:type="dxa"/>
            <w:tcBorders>
              <w:top w:val="nil"/>
              <w:left w:val="nil"/>
              <w:bottom w:val="nil"/>
              <w:right w:val="single" w:sz="4" w:space="0" w:color="auto"/>
            </w:tcBorders>
            <w:shd w:val="clear" w:color="auto" w:fill="auto"/>
            <w:noWrap/>
            <w:vAlign w:val="bottom"/>
            <w:hideMark/>
          </w:tcPr>
          <w:p w14:paraId="4074A454"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95,0%</w:t>
            </w:r>
          </w:p>
        </w:tc>
      </w:tr>
      <w:tr w:rsidR="002214C6" w:rsidRPr="002214C6" w14:paraId="1C6FF7AE"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4C0EA658"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31.649</w:t>
            </w:r>
          </w:p>
        </w:tc>
        <w:tc>
          <w:tcPr>
            <w:tcW w:w="1216" w:type="dxa"/>
            <w:tcBorders>
              <w:top w:val="nil"/>
              <w:left w:val="nil"/>
              <w:bottom w:val="nil"/>
              <w:right w:val="nil"/>
            </w:tcBorders>
            <w:shd w:val="clear" w:color="auto" w:fill="auto"/>
            <w:noWrap/>
            <w:vAlign w:val="bottom"/>
            <w:hideMark/>
          </w:tcPr>
          <w:p w14:paraId="69106E5C"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33.120</w:t>
            </w:r>
          </w:p>
        </w:tc>
        <w:tc>
          <w:tcPr>
            <w:tcW w:w="1174" w:type="dxa"/>
            <w:tcBorders>
              <w:top w:val="nil"/>
              <w:left w:val="nil"/>
              <w:bottom w:val="nil"/>
              <w:right w:val="nil"/>
            </w:tcBorders>
            <w:shd w:val="clear" w:color="auto" w:fill="auto"/>
            <w:noWrap/>
            <w:vAlign w:val="bottom"/>
            <w:hideMark/>
          </w:tcPr>
          <w:p w14:paraId="3666AAF2"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91,9%</w:t>
            </w:r>
          </w:p>
        </w:tc>
        <w:tc>
          <w:tcPr>
            <w:tcW w:w="1394" w:type="dxa"/>
            <w:tcBorders>
              <w:top w:val="nil"/>
              <w:left w:val="nil"/>
              <w:bottom w:val="nil"/>
              <w:right w:val="single" w:sz="4" w:space="0" w:color="auto"/>
            </w:tcBorders>
            <w:shd w:val="clear" w:color="auto" w:fill="auto"/>
            <w:noWrap/>
            <w:vAlign w:val="bottom"/>
            <w:hideMark/>
          </w:tcPr>
          <w:p w14:paraId="1BB8D27E"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94,9%</w:t>
            </w:r>
          </w:p>
        </w:tc>
      </w:tr>
      <w:tr w:rsidR="002214C6" w:rsidRPr="002214C6" w14:paraId="089F9693"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0E7D81C4"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33.121</w:t>
            </w:r>
          </w:p>
        </w:tc>
        <w:tc>
          <w:tcPr>
            <w:tcW w:w="1216" w:type="dxa"/>
            <w:tcBorders>
              <w:top w:val="nil"/>
              <w:left w:val="nil"/>
              <w:bottom w:val="nil"/>
              <w:right w:val="nil"/>
            </w:tcBorders>
            <w:shd w:val="clear" w:color="auto" w:fill="auto"/>
            <w:noWrap/>
            <w:vAlign w:val="bottom"/>
            <w:hideMark/>
          </w:tcPr>
          <w:p w14:paraId="7FE7EE7A"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34.596</w:t>
            </w:r>
          </w:p>
        </w:tc>
        <w:tc>
          <w:tcPr>
            <w:tcW w:w="1174" w:type="dxa"/>
            <w:tcBorders>
              <w:top w:val="nil"/>
              <w:left w:val="nil"/>
              <w:bottom w:val="nil"/>
              <w:right w:val="nil"/>
            </w:tcBorders>
            <w:shd w:val="clear" w:color="auto" w:fill="auto"/>
            <w:noWrap/>
            <w:vAlign w:val="bottom"/>
            <w:hideMark/>
          </w:tcPr>
          <w:p w14:paraId="7FB4B9F3"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90,9%</w:t>
            </w:r>
          </w:p>
        </w:tc>
        <w:tc>
          <w:tcPr>
            <w:tcW w:w="1394" w:type="dxa"/>
            <w:tcBorders>
              <w:top w:val="nil"/>
              <w:left w:val="nil"/>
              <w:bottom w:val="nil"/>
              <w:right w:val="single" w:sz="4" w:space="0" w:color="auto"/>
            </w:tcBorders>
            <w:shd w:val="clear" w:color="auto" w:fill="auto"/>
            <w:noWrap/>
            <w:vAlign w:val="bottom"/>
            <w:hideMark/>
          </w:tcPr>
          <w:p w14:paraId="534E9464"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94,7%</w:t>
            </w:r>
          </w:p>
        </w:tc>
      </w:tr>
      <w:tr w:rsidR="002214C6" w:rsidRPr="002214C6" w14:paraId="1DA92132"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6D603B80"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34.597</w:t>
            </w:r>
          </w:p>
        </w:tc>
        <w:tc>
          <w:tcPr>
            <w:tcW w:w="1216" w:type="dxa"/>
            <w:tcBorders>
              <w:top w:val="nil"/>
              <w:left w:val="nil"/>
              <w:bottom w:val="nil"/>
              <w:right w:val="nil"/>
            </w:tcBorders>
            <w:shd w:val="clear" w:color="auto" w:fill="auto"/>
            <w:noWrap/>
            <w:vAlign w:val="bottom"/>
            <w:hideMark/>
          </w:tcPr>
          <w:p w14:paraId="1FD77CE3"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36.068</w:t>
            </w:r>
          </w:p>
        </w:tc>
        <w:tc>
          <w:tcPr>
            <w:tcW w:w="1174" w:type="dxa"/>
            <w:tcBorders>
              <w:top w:val="nil"/>
              <w:left w:val="nil"/>
              <w:bottom w:val="nil"/>
              <w:right w:val="nil"/>
            </w:tcBorders>
            <w:shd w:val="clear" w:color="auto" w:fill="auto"/>
            <w:noWrap/>
            <w:vAlign w:val="bottom"/>
            <w:hideMark/>
          </w:tcPr>
          <w:p w14:paraId="28DECCC9"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90,4%</w:t>
            </w:r>
          </w:p>
        </w:tc>
        <w:tc>
          <w:tcPr>
            <w:tcW w:w="1394" w:type="dxa"/>
            <w:tcBorders>
              <w:top w:val="nil"/>
              <w:left w:val="nil"/>
              <w:bottom w:val="nil"/>
              <w:right w:val="single" w:sz="4" w:space="0" w:color="auto"/>
            </w:tcBorders>
            <w:shd w:val="clear" w:color="auto" w:fill="auto"/>
            <w:noWrap/>
            <w:vAlign w:val="bottom"/>
            <w:hideMark/>
          </w:tcPr>
          <w:p w14:paraId="0662F6F7"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94,5%</w:t>
            </w:r>
          </w:p>
        </w:tc>
      </w:tr>
      <w:tr w:rsidR="002214C6" w:rsidRPr="002214C6" w14:paraId="0BADBDFF"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7C6B4F3B"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36.069</w:t>
            </w:r>
          </w:p>
        </w:tc>
        <w:tc>
          <w:tcPr>
            <w:tcW w:w="1216" w:type="dxa"/>
            <w:tcBorders>
              <w:top w:val="nil"/>
              <w:left w:val="nil"/>
              <w:bottom w:val="nil"/>
              <w:right w:val="nil"/>
            </w:tcBorders>
            <w:shd w:val="clear" w:color="auto" w:fill="auto"/>
            <w:noWrap/>
            <w:vAlign w:val="bottom"/>
            <w:hideMark/>
          </w:tcPr>
          <w:p w14:paraId="3BCB82FE"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37.546</w:t>
            </w:r>
          </w:p>
        </w:tc>
        <w:tc>
          <w:tcPr>
            <w:tcW w:w="1174" w:type="dxa"/>
            <w:tcBorders>
              <w:top w:val="nil"/>
              <w:left w:val="nil"/>
              <w:bottom w:val="nil"/>
              <w:right w:val="nil"/>
            </w:tcBorders>
            <w:shd w:val="clear" w:color="auto" w:fill="auto"/>
            <w:noWrap/>
            <w:vAlign w:val="bottom"/>
            <w:hideMark/>
          </w:tcPr>
          <w:p w14:paraId="096D2E28"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89,5%</w:t>
            </w:r>
          </w:p>
        </w:tc>
        <w:tc>
          <w:tcPr>
            <w:tcW w:w="1394" w:type="dxa"/>
            <w:tcBorders>
              <w:top w:val="nil"/>
              <w:left w:val="nil"/>
              <w:bottom w:val="nil"/>
              <w:right w:val="single" w:sz="4" w:space="0" w:color="auto"/>
            </w:tcBorders>
            <w:shd w:val="clear" w:color="auto" w:fill="auto"/>
            <w:noWrap/>
            <w:vAlign w:val="bottom"/>
            <w:hideMark/>
          </w:tcPr>
          <w:p w14:paraId="3C906CE1"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94,5%</w:t>
            </w:r>
          </w:p>
        </w:tc>
      </w:tr>
      <w:tr w:rsidR="002214C6" w:rsidRPr="002214C6" w14:paraId="4BBD9A7B"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235E9357"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37.547</w:t>
            </w:r>
          </w:p>
        </w:tc>
        <w:tc>
          <w:tcPr>
            <w:tcW w:w="1216" w:type="dxa"/>
            <w:tcBorders>
              <w:top w:val="nil"/>
              <w:left w:val="nil"/>
              <w:bottom w:val="nil"/>
              <w:right w:val="nil"/>
            </w:tcBorders>
            <w:shd w:val="clear" w:color="auto" w:fill="auto"/>
            <w:noWrap/>
            <w:vAlign w:val="bottom"/>
            <w:hideMark/>
          </w:tcPr>
          <w:p w14:paraId="7E4730D1"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39.019</w:t>
            </w:r>
          </w:p>
        </w:tc>
        <w:tc>
          <w:tcPr>
            <w:tcW w:w="1174" w:type="dxa"/>
            <w:tcBorders>
              <w:top w:val="nil"/>
              <w:left w:val="nil"/>
              <w:bottom w:val="nil"/>
              <w:right w:val="nil"/>
            </w:tcBorders>
            <w:shd w:val="clear" w:color="auto" w:fill="auto"/>
            <w:noWrap/>
            <w:vAlign w:val="bottom"/>
            <w:hideMark/>
          </w:tcPr>
          <w:p w14:paraId="0C28B552"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88,7%</w:t>
            </w:r>
          </w:p>
        </w:tc>
        <w:tc>
          <w:tcPr>
            <w:tcW w:w="1394" w:type="dxa"/>
            <w:tcBorders>
              <w:top w:val="nil"/>
              <w:left w:val="nil"/>
              <w:bottom w:val="nil"/>
              <w:right w:val="single" w:sz="4" w:space="0" w:color="auto"/>
            </w:tcBorders>
            <w:shd w:val="clear" w:color="auto" w:fill="auto"/>
            <w:noWrap/>
            <w:vAlign w:val="bottom"/>
            <w:hideMark/>
          </w:tcPr>
          <w:p w14:paraId="10C0B3C7"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94,5%</w:t>
            </w:r>
          </w:p>
        </w:tc>
      </w:tr>
      <w:tr w:rsidR="002214C6" w:rsidRPr="002214C6" w14:paraId="233AA723"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43DC3B92"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39.020</w:t>
            </w:r>
          </w:p>
        </w:tc>
        <w:tc>
          <w:tcPr>
            <w:tcW w:w="1216" w:type="dxa"/>
            <w:tcBorders>
              <w:top w:val="nil"/>
              <w:left w:val="nil"/>
              <w:bottom w:val="nil"/>
              <w:right w:val="nil"/>
            </w:tcBorders>
            <w:shd w:val="clear" w:color="auto" w:fill="auto"/>
            <w:noWrap/>
            <w:vAlign w:val="bottom"/>
            <w:hideMark/>
          </w:tcPr>
          <w:p w14:paraId="72E6368A"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40.528</w:t>
            </w:r>
          </w:p>
        </w:tc>
        <w:tc>
          <w:tcPr>
            <w:tcW w:w="1174" w:type="dxa"/>
            <w:tcBorders>
              <w:top w:val="nil"/>
              <w:left w:val="nil"/>
              <w:bottom w:val="nil"/>
              <w:right w:val="nil"/>
            </w:tcBorders>
            <w:shd w:val="clear" w:color="auto" w:fill="auto"/>
            <w:noWrap/>
            <w:vAlign w:val="bottom"/>
            <w:hideMark/>
          </w:tcPr>
          <w:p w14:paraId="04C7388F"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88,1%</w:t>
            </w:r>
          </w:p>
        </w:tc>
        <w:tc>
          <w:tcPr>
            <w:tcW w:w="1394" w:type="dxa"/>
            <w:tcBorders>
              <w:top w:val="nil"/>
              <w:left w:val="nil"/>
              <w:bottom w:val="nil"/>
              <w:right w:val="single" w:sz="4" w:space="0" w:color="auto"/>
            </w:tcBorders>
            <w:shd w:val="clear" w:color="auto" w:fill="auto"/>
            <w:noWrap/>
            <w:vAlign w:val="bottom"/>
            <w:hideMark/>
          </w:tcPr>
          <w:p w14:paraId="69D17321"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94,5%</w:t>
            </w:r>
          </w:p>
        </w:tc>
      </w:tr>
      <w:tr w:rsidR="002214C6" w:rsidRPr="002214C6" w14:paraId="42C266EA"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1C2A9DA5"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40.529</w:t>
            </w:r>
          </w:p>
        </w:tc>
        <w:tc>
          <w:tcPr>
            <w:tcW w:w="1216" w:type="dxa"/>
            <w:tcBorders>
              <w:top w:val="nil"/>
              <w:left w:val="nil"/>
              <w:bottom w:val="nil"/>
              <w:right w:val="nil"/>
            </w:tcBorders>
            <w:shd w:val="clear" w:color="auto" w:fill="auto"/>
            <w:noWrap/>
            <w:vAlign w:val="bottom"/>
            <w:hideMark/>
          </w:tcPr>
          <w:p w14:paraId="29EE71B3"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42.039</w:t>
            </w:r>
          </w:p>
        </w:tc>
        <w:tc>
          <w:tcPr>
            <w:tcW w:w="1174" w:type="dxa"/>
            <w:tcBorders>
              <w:top w:val="nil"/>
              <w:left w:val="nil"/>
              <w:bottom w:val="nil"/>
              <w:right w:val="nil"/>
            </w:tcBorders>
            <w:shd w:val="clear" w:color="auto" w:fill="auto"/>
            <w:noWrap/>
            <w:vAlign w:val="bottom"/>
            <w:hideMark/>
          </w:tcPr>
          <w:p w14:paraId="3B8CA0B1"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87,3%</w:t>
            </w:r>
          </w:p>
        </w:tc>
        <w:tc>
          <w:tcPr>
            <w:tcW w:w="1394" w:type="dxa"/>
            <w:tcBorders>
              <w:top w:val="nil"/>
              <w:left w:val="nil"/>
              <w:bottom w:val="nil"/>
              <w:right w:val="single" w:sz="4" w:space="0" w:color="auto"/>
            </w:tcBorders>
            <w:shd w:val="clear" w:color="auto" w:fill="auto"/>
            <w:noWrap/>
            <w:vAlign w:val="bottom"/>
            <w:hideMark/>
          </w:tcPr>
          <w:p w14:paraId="1CFD76C7"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94,5%</w:t>
            </w:r>
          </w:p>
        </w:tc>
      </w:tr>
      <w:tr w:rsidR="002214C6" w:rsidRPr="002214C6" w14:paraId="2243F875"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36F308CF"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42.040</w:t>
            </w:r>
          </w:p>
        </w:tc>
        <w:tc>
          <w:tcPr>
            <w:tcW w:w="1216" w:type="dxa"/>
            <w:tcBorders>
              <w:top w:val="nil"/>
              <w:left w:val="nil"/>
              <w:bottom w:val="nil"/>
              <w:right w:val="nil"/>
            </w:tcBorders>
            <w:shd w:val="clear" w:color="auto" w:fill="auto"/>
            <w:noWrap/>
            <w:vAlign w:val="bottom"/>
            <w:hideMark/>
          </w:tcPr>
          <w:p w14:paraId="24A5B2F6"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43.550</w:t>
            </w:r>
          </w:p>
        </w:tc>
        <w:tc>
          <w:tcPr>
            <w:tcW w:w="1174" w:type="dxa"/>
            <w:tcBorders>
              <w:top w:val="nil"/>
              <w:left w:val="nil"/>
              <w:bottom w:val="nil"/>
              <w:right w:val="nil"/>
            </w:tcBorders>
            <w:shd w:val="clear" w:color="auto" w:fill="auto"/>
            <w:noWrap/>
            <w:vAlign w:val="bottom"/>
            <w:hideMark/>
          </w:tcPr>
          <w:p w14:paraId="03CF3EF8"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86,6%</w:t>
            </w:r>
          </w:p>
        </w:tc>
        <w:tc>
          <w:tcPr>
            <w:tcW w:w="1394" w:type="dxa"/>
            <w:tcBorders>
              <w:top w:val="nil"/>
              <w:left w:val="nil"/>
              <w:bottom w:val="nil"/>
              <w:right w:val="single" w:sz="4" w:space="0" w:color="auto"/>
            </w:tcBorders>
            <w:shd w:val="clear" w:color="auto" w:fill="auto"/>
            <w:noWrap/>
            <w:vAlign w:val="bottom"/>
            <w:hideMark/>
          </w:tcPr>
          <w:p w14:paraId="40AF5B07"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94,5%</w:t>
            </w:r>
          </w:p>
        </w:tc>
      </w:tr>
      <w:tr w:rsidR="002214C6" w:rsidRPr="002214C6" w14:paraId="4176CFE5"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249F5CF9"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43.551</w:t>
            </w:r>
          </w:p>
        </w:tc>
        <w:tc>
          <w:tcPr>
            <w:tcW w:w="1216" w:type="dxa"/>
            <w:tcBorders>
              <w:top w:val="nil"/>
              <w:left w:val="nil"/>
              <w:bottom w:val="nil"/>
              <w:right w:val="nil"/>
            </w:tcBorders>
            <w:shd w:val="clear" w:color="auto" w:fill="auto"/>
            <w:noWrap/>
            <w:vAlign w:val="bottom"/>
            <w:hideMark/>
          </w:tcPr>
          <w:p w14:paraId="10BE8657"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45.061</w:t>
            </w:r>
          </w:p>
        </w:tc>
        <w:tc>
          <w:tcPr>
            <w:tcW w:w="1174" w:type="dxa"/>
            <w:tcBorders>
              <w:top w:val="nil"/>
              <w:left w:val="nil"/>
              <w:bottom w:val="nil"/>
              <w:right w:val="nil"/>
            </w:tcBorders>
            <w:shd w:val="clear" w:color="auto" w:fill="auto"/>
            <w:noWrap/>
            <w:vAlign w:val="bottom"/>
            <w:hideMark/>
          </w:tcPr>
          <w:p w14:paraId="78346ED3"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85,9%</w:t>
            </w:r>
          </w:p>
        </w:tc>
        <w:tc>
          <w:tcPr>
            <w:tcW w:w="1394" w:type="dxa"/>
            <w:tcBorders>
              <w:top w:val="nil"/>
              <w:left w:val="nil"/>
              <w:bottom w:val="nil"/>
              <w:right w:val="single" w:sz="4" w:space="0" w:color="auto"/>
            </w:tcBorders>
            <w:shd w:val="clear" w:color="auto" w:fill="auto"/>
            <w:noWrap/>
            <w:vAlign w:val="bottom"/>
            <w:hideMark/>
          </w:tcPr>
          <w:p w14:paraId="0E8C8FD6"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94,5%</w:t>
            </w:r>
          </w:p>
        </w:tc>
      </w:tr>
      <w:tr w:rsidR="002214C6" w:rsidRPr="002214C6" w14:paraId="73D83748"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06126527"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45.062</w:t>
            </w:r>
          </w:p>
        </w:tc>
        <w:tc>
          <w:tcPr>
            <w:tcW w:w="1216" w:type="dxa"/>
            <w:tcBorders>
              <w:top w:val="nil"/>
              <w:left w:val="nil"/>
              <w:bottom w:val="nil"/>
              <w:right w:val="nil"/>
            </w:tcBorders>
            <w:shd w:val="clear" w:color="auto" w:fill="auto"/>
            <w:noWrap/>
            <w:vAlign w:val="bottom"/>
            <w:hideMark/>
          </w:tcPr>
          <w:p w14:paraId="0ABF3E4C"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46.575</w:t>
            </w:r>
          </w:p>
        </w:tc>
        <w:tc>
          <w:tcPr>
            <w:tcW w:w="1174" w:type="dxa"/>
            <w:tcBorders>
              <w:top w:val="nil"/>
              <w:left w:val="nil"/>
              <w:bottom w:val="nil"/>
              <w:right w:val="nil"/>
            </w:tcBorders>
            <w:shd w:val="clear" w:color="auto" w:fill="auto"/>
            <w:noWrap/>
            <w:vAlign w:val="bottom"/>
            <w:hideMark/>
          </w:tcPr>
          <w:p w14:paraId="65C594C4"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85,0%</w:t>
            </w:r>
          </w:p>
        </w:tc>
        <w:tc>
          <w:tcPr>
            <w:tcW w:w="1394" w:type="dxa"/>
            <w:tcBorders>
              <w:top w:val="nil"/>
              <w:left w:val="nil"/>
              <w:bottom w:val="nil"/>
              <w:right w:val="single" w:sz="4" w:space="0" w:color="auto"/>
            </w:tcBorders>
            <w:shd w:val="clear" w:color="auto" w:fill="auto"/>
            <w:noWrap/>
            <w:vAlign w:val="bottom"/>
            <w:hideMark/>
          </w:tcPr>
          <w:p w14:paraId="67E91504"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94,5%</w:t>
            </w:r>
          </w:p>
        </w:tc>
      </w:tr>
      <w:tr w:rsidR="002214C6" w:rsidRPr="002214C6" w14:paraId="37202FF3"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48CDB686"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46.576</w:t>
            </w:r>
          </w:p>
        </w:tc>
        <w:tc>
          <w:tcPr>
            <w:tcW w:w="1216" w:type="dxa"/>
            <w:tcBorders>
              <w:top w:val="nil"/>
              <w:left w:val="nil"/>
              <w:bottom w:val="nil"/>
              <w:right w:val="nil"/>
            </w:tcBorders>
            <w:shd w:val="clear" w:color="auto" w:fill="auto"/>
            <w:noWrap/>
            <w:vAlign w:val="bottom"/>
            <w:hideMark/>
          </w:tcPr>
          <w:p w14:paraId="16E005C7"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48.086</w:t>
            </w:r>
          </w:p>
        </w:tc>
        <w:tc>
          <w:tcPr>
            <w:tcW w:w="1174" w:type="dxa"/>
            <w:tcBorders>
              <w:top w:val="nil"/>
              <w:left w:val="nil"/>
              <w:bottom w:val="nil"/>
              <w:right w:val="nil"/>
            </w:tcBorders>
            <w:shd w:val="clear" w:color="auto" w:fill="auto"/>
            <w:noWrap/>
            <w:vAlign w:val="bottom"/>
            <w:hideMark/>
          </w:tcPr>
          <w:p w14:paraId="2B4A67A1"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84,5%</w:t>
            </w:r>
          </w:p>
        </w:tc>
        <w:tc>
          <w:tcPr>
            <w:tcW w:w="1394" w:type="dxa"/>
            <w:tcBorders>
              <w:top w:val="nil"/>
              <w:left w:val="nil"/>
              <w:bottom w:val="nil"/>
              <w:right w:val="single" w:sz="4" w:space="0" w:color="auto"/>
            </w:tcBorders>
            <w:shd w:val="clear" w:color="auto" w:fill="auto"/>
            <w:noWrap/>
            <w:vAlign w:val="bottom"/>
            <w:hideMark/>
          </w:tcPr>
          <w:p w14:paraId="60765823"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94,5%</w:t>
            </w:r>
          </w:p>
        </w:tc>
      </w:tr>
      <w:tr w:rsidR="002214C6" w:rsidRPr="002214C6" w14:paraId="40171244"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68DC5311"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48.087</w:t>
            </w:r>
          </w:p>
        </w:tc>
        <w:tc>
          <w:tcPr>
            <w:tcW w:w="1216" w:type="dxa"/>
            <w:tcBorders>
              <w:top w:val="nil"/>
              <w:left w:val="nil"/>
              <w:bottom w:val="nil"/>
              <w:right w:val="nil"/>
            </w:tcBorders>
            <w:shd w:val="clear" w:color="auto" w:fill="auto"/>
            <w:noWrap/>
            <w:vAlign w:val="bottom"/>
            <w:hideMark/>
          </w:tcPr>
          <w:p w14:paraId="676BB28D"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49.596</w:t>
            </w:r>
          </w:p>
        </w:tc>
        <w:tc>
          <w:tcPr>
            <w:tcW w:w="1174" w:type="dxa"/>
            <w:tcBorders>
              <w:top w:val="nil"/>
              <w:left w:val="nil"/>
              <w:bottom w:val="nil"/>
              <w:right w:val="nil"/>
            </w:tcBorders>
            <w:shd w:val="clear" w:color="auto" w:fill="auto"/>
            <w:noWrap/>
            <w:vAlign w:val="bottom"/>
            <w:hideMark/>
          </w:tcPr>
          <w:p w14:paraId="29ADC356"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83,7%</w:t>
            </w:r>
          </w:p>
        </w:tc>
        <w:tc>
          <w:tcPr>
            <w:tcW w:w="1394" w:type="dxa"/>
            <w:tcBorders>
              <w:top w:val="nil"/>
              <w:left w:val="nil"/>
              <w:bottom w:val="nil"/>
              <w:right w:val="single" w:sz="4" w:space="0" w:color="auto"/>
            </w:tcBorders>
            <w:shd w:val="clear" w:color="auto" w:fill="auto"/>
            <w:noWrap/>
            <w:vAlign w:val="bottom"/>
            <w:hideMark/>
          </w:tcPr>
          <w:p w14:paraId="0A2B743E"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94,5%</w:t>
            </w:r>
          </w:p>
        </w:tc>
      </w:tr>
      <w:tr w:rsidR="002214C6" w:rsidRPr="002214C6" w14:paraId="67DB8CBA"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502486D4"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49.597</w:t>
            </w:r>
          </w:p>
        </w:tc>
        <w:tc>
          <w:tcPr>
            <w:tcW w:w="1216" w:type="dxa"/>
            <w:tcBorders>
              <w:top w:val="nil"/>
              <w:left w:val="nil"/>
              <w:bottom w:val="nil"/>
              <w:right w:val="nil"/>
            </w:tcBorders>
            <w:shd w:val="clear" w:color="auto" w:fill="auto"/>
            <w:noWrap/>
            <w:vAlign w:val="bottom"/>
            <w:hideMark/>
          </w:tcPr>
          <w:p w14:paraId="245561D6"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51.108</w:t>
            </w:r>
          </w:p>
        </w:tc>
        <w:tc>
          <w:tcPr>
            <w:tcW w:w="1174" w:type="dxa"/>
            <w:tcBorders>
              <w:top w:val="nil"/>
              <w:left w:val="nil"/>
              <w:bottom w:val="nil"/>
              <w:right w:val="nil"/>
            </w:tcBorders>
            <w:shd w:val="clear" w:color="auto" w:fill="auto"/>
            <w:noWrap/>
            <w:vAlign w:val="bottom"/>
            <w:hideMark/>
          </w:tcPr>
          <w:p w14:paraId="7A971B04"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83,0%</w:t>
            </w:r>
          </w:p>
        </w:tc>
        <w:tc>
          <w:tcPr>
            <w:tcW w:w="1394" w:type="dxa"/>
            <w:tcBorders>
              <w:top w:val="nil"/>
              <w:left w:val="nil"/>
              <w:bottom w:val="nil"/>
              <w:right w:val="single" w:sz="4" w:space="0" w:color="auto"/>
            </w:tcBorders>
            <w:shd w:val="clear" w:color="auto" w:fill="auto"/>
            <w:noWrap/>
            <w:vAlign w:val="bottom"/>
            <w:hideMark/>
          </w:tcPr>
          <w:p w14:paraId="11F46536"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94,5%</w:t>
            </w:r>
          </w:p>
        </w:tc>
      </w:tr>
      <w:tr w:rsidR="002214C6" w:rsidRPr="002214C6" w14:paraId="59F3E658"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6CB299AE"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51.109</w:t>
            </w:r>
          </w:p>
        </w:tc>
        <w:tc>
          <w:tcPr>
            <w:tcW w:w="1216" w:type="dxa"/>
            <w:tcBorders>
              <w:top w:val="nil"/>
              <w:left w:val="nil"/>
              <w:bottom w:val="nil"/>
              <w:right w:val="nil"/>
            </w:tcBorders>
            <w:shd w:val="clear" w:color="auto" w:fill="auto"/>
            <w:noWrap/>
            <w:vAlign w:val="bottom"/>
            <w:hideMark/>
          </w:tcPr>
          <w:p w14:paraId="1ABE8773"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52.759</w:t>
            </w:r>
          </w:p>
        </w:tc>
        <w:tc>
          <w:tcPr>
            <w:tcW w:w="1174" w:type="dxa"/>
            <w:tcBorders>
              <w:top w:val="nil"/>
              <w:left w:val="nil"/>
              <w:bottom w:val="nil"/>
              <w:right w:val="nil"/>
            </w:tcBorders>
            <w:shd w:val="clear" w:color="auto" w:fill="auto"/>
            <w:noWrap/>
            <w:vAlign w:val="bottom"/>
            <w:hideMark/>
          </w:tcPr>
          <w:p w14:paraId="1A5EF529"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82,1%</w:t>
            </w:r>
          </w:p>
        </w:tc>
        <w:tc>
          <w:tcPr>
            <w:tcW w:w="1394" w:type="dxa"/>
            <w:tcBorders>
              <w:top w:val="nil"/>
              <w:left w:val="nil"/>
              <w:bottom w:val="nil"/>
              <w:right w:val="single" w:sz="4" w:space="0" w:color="auto"/>
            </w:tcBorders>
            <w:shd w:val="clear" w:color="auto" w:fill="auto"/>
            <w:noWrap/>
            <w:vAlign w:val="bottom"/>
            <w:hideMark/>
          </w:tcPr>
          <w:p w14:paraId="47EFEA14"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94,5%</w:t>
            </w:r>
          </w:p>
        </w:tc>
      </w:tr>
      <w:tr w:rsidR="002214C6" w:rsidRPr="002214C6" w14:paraId="5A913EDB"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7CD89914"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52.760</w:t>
            </w:r>
          </w:p>
        </w:tc>
        <w:tc>
          <w:tcPr>
            <w:tcW w:w="1216" w:type="dxa"/>
            <w:tcBorders>
              <w:top w:val="nil"/>
              <w:left w:val="nil"/>
              <w:bottom w:val="nil"/>
              <w:right w:val="nil"/>
            </w:tcBorders>
            <w:shd w:val="clear" w:color="auto" w:fill="auto"/>
            <w:noWrap/>
            <w:vAlign w:val="bottom"/>
            <w:hideMark/>
          </w:tcPr>
          <w:p w14:paraId="1C758FAD"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55.998</w:t>
            </w:r>
          </w:p>
        </w:tc>
        <w:tc>
          <w:tcPr>
            <w:tcW w:w="1174" w:type="dxa"/>
            <w:tcBorders>
              <w:top w:val="nil"/>
              <w:left w:val="nil"/>
              <w:bottom w:val="nil"/>
              <w:right w:val="nil"/>
            </w:tcBorders>
            <w:shd w:val="clear" w:color="auto" w:fill="auto"/>
            <w:noWrap/>
            <w:vAlign w:val="bottom"/>
            <w:hideMark/>
          </w:tcPr>
          <w:p w14:paraId="6515999E"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80,6%</w:t>
            </w:r>
          </w:p>
        </w:tc>
        <w:tc>
          <w:tcPr>
            <w:tcW w:w="1394" w:type="dxa"/>
            <w:tcBorders>
              <w:top w:val="nil"/>
              <w:left w:val="nil"/>
              <w:bottom w:val="nil"/>
              <w:right w:val="single" w:sz="4" w:space="0" w:color="auto"/>
            </w:tcBorders>
            <w:shd w:val="clear" w:color="auto" w:fill="auto"/>
            <w:noWrap/>
            <w:vAlign w:val="bottom"/>
            <w:hideMark/>
          </w:tcPr>
          <w:p w14:paraId="08B31DF7"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94,5%</w:t>
            </w:r>
          </w:p>
        </w:tc>
      </w:tr>
      <w:tr w:rsidR="002214C6" w:rsidRPr="002214C6" w14:paraId="62D09DC1"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11254542"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55.999</w:t>
            </w:r>
          </w:p>
        </w:tc>
        <w:tc>
          <w:tcPr>
            <w:tcW w:w="1216" w:type="dxa"/>
            <w:tcBorders>
              <w:top w:val="nil"/>
              <w:left w:val="nil"/>
              <w:bottom w:val="nil"/>
              <w:right w:val="nil"/>
            </w:tcBorders>
            <w:shd w:val="clear" w:color="auto" w:fill="auto"/>
            <w:noWrap/>
            <w:vAlign w:val="bottom"/>
            <w:hideMark/>
          </w:tcPr>
          <w:p w14:paraId="5DDEA574"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59.235</w:t>
            </w:r>
          </w:p>
        </w:tc>
        <w:tc>
          <w:tcPr>
            <w:tcW w:w="1174" w:type="dxa"/>
            <w:tcBorders>
              <w:top w:val="nil"/>
              <w:left w:val="nil"/>
              <w:bottom w:val="nil"/>
              <w:right w:val="nil"/>
            </w:tcBorders>
            <w:shd w:val="clear" w:color="auto" w:fill="auto"/>
            <w:noWrap/>
            <w:vAlign w:val="bottom"/>
            <w:hideMark/>
          </w:tcPr>
          <w:p w14:paraId="417E40FC"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79,8%</w:t>
            </w:r>
          </w:p>
        </w:tc>
        <w:tc>
          <w:tcPr>
            <w:tcW w:w="1394" w:type="dxa"/>
            <w:tcBorders>
              <w:top w:val="nil"/>
              <w:left w:val="nil"/>
              <w:bottom w:val="nil"/>
              <w:right w:val="single" w:sz="4" w:space="0" w:color="auto"/>
            </w:tcBorders>
            <w:shd w:val="clear" w:color="auto" w:fill="auto"/>
            <w:noWrap/>
            <w:vAlign w:val="bottom"/>
            <w:hideMark/>
          </w:tcPr>
          <w:p w14:paraId="238FE854"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94,1%</w:t>
            </w:r>
          </w:p>
        </w:tc>
      </w:tr>
      <w:tr w:rsidR="002214C6" w:rsidRPr="002214C6" w14:paraId="7F946130"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7840DAA3"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59.236</w:t>
            </w:r>
          </w:p>
        </w:tc>
        <w:tc>
          <w:tcPr>
            <w:tcW w:w="1216" w:type="dxa"/>
            <w:tcBorders>
              <w:top w:val="nil"/>
              <w:left w:val="nil"/>
              <w:bottom w:val="nil"/>
              <w:right w:val="nil"/>
            </w:tcBorders>
            <w:shd w:val="clear" w:color="auto" w:fill="auto"/>
            <w:noWrap/>
            <w:vAlign w:val="bottom"/>
            <w:hideMark/>
          </w:tcPr>
          <w:p w14:paraId="6B10A423"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62.474</w:t>
            </w:r>
          </w:p>
        </w:tc>
        <w:tc>
          <w:tcPr>
            <w:tcW w:w="1174" w:type="dxa"/>
            <w:tcBorders>
              <w:top w:val="nil"/>
              <w:left w:val="nil"/>
              <w:bottom w:val="nil"/>
              <w:right w:val="nil"/>
            </w:tcBorders>
            <w:shd w:val="clear" w:color="auto" w:fill="auto"/>
            <w:noWrap/>
            <w:vAlign w:val="bottom"/>
            <w:hideMark/>
          </w:tcPr>
          <w:p w14:paraId="7875B58B"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78,7%</w:t>
            </w:r>
          </w:p>
        </w:tc>
        <w:tc>
          <w:tcPr>
            <w:tcW w:w="1394" w:type="dxa"/>
            <w:tcBorders>
              <w:top w:val="nil"/>
              <w:left w:val="nil"/>
              <w:bottom w:val="nil"/>
              <w:right w:val="single" w:sz="4" w:space="0" w:color="auto"/>
            </w:tcBorders>
            <w:shd w:val="clear" w:color="auto" w:fill="auto"/>
            <w:noWrap/>
            <w:vAlign w:val="bottom"/>
            <w:hideMark/>
          </w:tcPr>
          <w:p w14:paraId="56C285D0"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93,5%</w:t>
            </w:r>
          </w:p>
        </w:tc>
      </w:tr>
      <w:tr w:rsidR="002214C6" w:rsidRPr="002214C6" w14:paraId="788A432E"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7A616C77"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62.475</w:t>
            </w:r>
          </w:p>
        </w:tc>
        <w:tc>
          <w:tcPr>
            <w:tcW w:w="1216" w:type="dxa"/>
            <w:tcBorders>
              <w:top w:val="nil"/>
              <w:left w:val="nil"/>
              <w:bottom w:val="nil"/>
              <w:right w:val="nil"/>
            </w:tcBorders>
            <w:shd w:val="clear" w:color="auto" w:fill="auto"/>
            <w:noWrap/>
            <w:vAlign w:val="bottom"/>
            <w:hideMark/>
          </w:tcPr>
          <w:p w14:paraId="068AFF27"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65.714</w:t>
            </w:r>
          </w:p>
        </w:tc>
        <w:tc>
          <w:tcPr>
            <w:tcW w:w="1174" w:type="dxa"/>
            <w:tcBorders>
              <w:top w:val="nil"/>
              <w:left w:val="nil"/>
              <w:bottom w:val="nil"/>
              <w:right w:val="nil"/>
            </w:tcBorders>
            <w:shd w:val="clear" w:color="auto" w:fill="auto"/>
            <w:noWrap/>
            <w:vAlign w:val="bottom"/>
            <w:hideMark/>
          </w:tcPr>
          <w:p w14:paraId="1D6B40A1"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76,4%</w:t>
            </w:r>
          </w:p>
        </w:tc>
        <w:tc>
          <w:tcPr>
            <w:tcW w:w="1394" w:type="dxa"/>
            <w:tcBorders>
              <w:top w:val="nil"/>
              <w:left w:val="nil"/>
              <w:bottom w:val="nil"/>
              <w:right w:val="single" w:sz="4" w:space="0" w:color="auto"/>
            </w:tcBorders>
            <w:shd w:val="clear" w:color="auto" w:fill="auto"/>
            <w:noWrap/>
            <w:vAlign w:val="bottom"/>
            <w:hideMark/>
          </w:tcPr>
          <w:p w14:paraId="369B2293"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93,1%</w:t>
            </w:r>
          </w:p>
        </w:tc>
      </w:tr>
      <w:tr w:rsidR="002214C6" w:rsidRPr="002214C6" w14:paraId="63987360"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6B403D7C"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65.715</w:t>
            </w:r>
          </w:p>
        </w:tc>
        <w:tc>
          <w:tcPr>
            <w:tcW w:w="1216" w:type="dxa"/>
            <w:tcBorders>
              <w:top w:val="nil"/>
              <w:left w:val="nil"/>
              <w:bottom w:val="nil"/>
              <w:right w:val="nil"/>
            </w:tcBorders>
            <w:shd w:val="clear" w:color="auto" w:fill="auto"/>
            <w:noWrap/>
            <w:vAlign w:val="bottom"/>
            <w:hideMark/>
          </w:tcPr>
          <w:p w14:paraId="1A83AEF7"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68.951</w:t>
            </w:r>
          </w:p>
        </w:tc>
        <w:tc>
          <w:tcPr>
            <w:tcW w:w="1174" w:type="dxa"/>
            <w:tcBorders>
              <w:top w:val="nil"/>
              <w:left w:val="nil"/>
              <w:bottom w:val="nil"/>
              <w:right w:val="nil"/>
            </w:tcBorders>
            <w:shd w:val="clear" w:color="auto" w:fill="auto"/>
            <w:noWrap/>
            <w:vAlign w:val="bottom"/>
            <w:hideMark/>
          </w:tcPr>
          <w:p w14:paraId="48DC0961"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74,1%</w:t>
            </w:r>
          </w:p>
        </w:tc>
        <w:tc>
          <w:tcPr>
            <w:tcW w:w="1394" w:type="dxa"/>
            <w:tcBorders>
              <w:top w:val="nil"/>
              <w:left w:val="nil"/>
              <w:bottom w:val="nil"/>
              <w:right w:val="single" w:sz="4" w:space="0" w:color="auto"/>
            </w:tcBorders>
            <w:shd w:val="clear" w:color="auto" w:fill="auto"/>
            <w:noWrap/>
            <w:vAlign w:val="bottom"/>
            <w:hideMark/>
          </w:tcPr>
          <w:p w14:paraId="3C60AB4D"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92,8%</w:t>
            </w:r>
          </w:p>
        </w:tc>
      </w:tr>
      <w:tr w:rsidR="002214C6" w:rsidRPr="002214C6" w14:paraId="08B3F8D8"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6A8F11E0"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68.952</w:t>
            </w:r>
          </w:p>
        </w:tc>
        <w:tc>
          <w:tcPr>
            <w:tcW w:w="1216" w:type="dxa"/>
            <w:tcBorders>
              <w:top w:val="nil"/>
              <w:left w:val="nil"/>
              <w:bottom w:val="nil"/>
              <w:right w:val="nil"/>
            </w:tcBorders>
            <w:shd w:val="clear" w:color="auto" w:fill="auto"/>
            <w:noWrap/>
            <w:vAlign w:val="bottom"/>
            <w:hideMark/>
          </w:tcPr>
          <w:p w14:paraId="0DAD9CB7"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72.192</w:t>
            </w:r>
          </w:p>
        </w:tc>
        <w:tc>
          <w:tcPr>
            <w:tcW w:w="1174" w:type="dxa"/>
            <w:tcBorders>
              <w:top w:val="nil"/>
              <w:left w:val="nil"/>
              <w:bottom w:val="nil"/>
              <w:right w:val="nil"/>
            </w:tcBorders>
            <w:shd w:val="clear" w:color="auto" w:fill="auto"/>
            <w:noWrap/>
            <w:vAlign w:val="bottom"/>
            <w:hideMark/>
          </w:tcPr>
          <w:p w14:paraId="5861BFE4"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71,9%</w:t>
            </w:r>
          </w:p>
        </w:tc>
        <w:tc>
          <w:tcPr>
            <w:tcW w:w="1394" w:type="dxa"/>
            <w:tcBorders>
              <w:top w:val="nil"/>
              <w:left w:val="nil"/>
              <w:bottom w:val="nil"/>
              <w:right w:val="single" w:sz="4" w:space="0" w:color="auto"/>
            </w:tcBorders>
            <w:shd w:val="clear" w:color="auto" w:fill="auto"/>
            <w:noWrap/>
            <w:vAlign w:val="bottom"/>
            <w:hideMark/>
          </w:tcPr>
          <w:p w14:paraId="390B7C7F"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92,1%</w:t>
            </w:r>
          </w:p>
        </w:tc>
      </w:tr>
      <w:tr w:rsidR="002214C6" w:rsidRPr="002214C6" w14:paraId="271796AB"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7B5E2EBD"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72.193</w:t>
            </w:r>
          </w:p>
        </w:tc>
        <w:tc>
          <w:tcPr>
            <w:tcW w:w="1216" w:type="dxa"/>
            <w:tcBorders>
              <w:top w:val="nil"/>
              <w:left w:val="nil"/>
              <w:bottom w:val="nil"/>
              <w:right w:val="nil"/>
            </w:tcBorders>
            <w:shd w:val="clear" w:color="auto" w:fill="auto"/>
            <w:noWrap/>
            <w:vAlign w:val="bottom"/>
            <w:hideMark/>
          </w:tcPr>
          <w:p w14:paraId="6733F24F"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75.430</w:t>
            </w:r>
          </w:p>
        </w:tc>
        <w:tc>
          <w:tcPr>
            <w:tcW w:w="1174" w:type="dxa"/>
            <w:tcBorders>
              <w:top w:val="nil"/>
              <w:left w:val="nil"/>
              <w:bottom w:val="nil"/>
              <w:right w:val="nil"/>
            </w:tcBorders>
            <w:shd w:val="clear" w:color="auto" w:fill="auto"/>
            <w:noWrap/>
            <w:vAlign w:val="bottom"/>
            <w:hideMark/>
          </w:tcPr>
          <w:p w14:paraId="4EE39F09"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69,4%</w:t>
            </w:r>
          </w:p>
        </w:tc>
        <w:tc>
          <w:tcPr>
            <w:tcW w:w="1394" w:type="dxa"/>
            <w:tcBorders>
              <w:top w:val="nil"/>
              <w:left w:val="nil"/>
              <w:bottom w:val="nil"/>
              <w:right w:val="single" w:sz="4" w:space="0" w:color="auto"/>
            </w:tcBorders>
            <w:shd w:val="clear" w:color="auto" w:fill="auto"/>
            <w:noWrap/>
            <w:vAlign w:val="bottom"/>
            <w:hideMark/>
          </w:tcPr>
          <w:p w14:paraId="0D58EA0C"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91,6%</w:t>
            </w:r>
          </w:p>
        </w:tc>
      </w:tr>
      <w:tr w:rsidR="002214C6" w:rsidRPr="002214C6" w14:paraId="05F8F81E"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4EFBDC76"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75.431</w:t>
            </w:r>
          </w:p>
        </w:tc>
        <w:tc>
          <w:tcPr>
            <w:tcW w:w="1216" w:type="dxa"/>
            <w:tcBorders>
              <w:top w:val="nil"/>
              <w:left w:val="nil"/>
              <w:bottom w:val="nil"/>
              <w:right w:val="nil"/>
            </w:tcBorders>
            <w:shd w:val="clear" w:color="auto" w:fill="auto"/>
            <w:noWrap/>
            <w:vAlign w:val="bottom"/>
            <w:hideMark/>
          </w:tcPr>
          <w:p w14:paraId="2F457981"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78.669</w:t>
            </w:r>
          </w:p>
        </w:tc>
        <w:tc>
          <w:tcPr>
            <w:tcW w:w="1174" w:type="dxa"/>
            <w:tcBorders>
              <w:top w:val="nil"/>
              <w:left w:val="nil"/>
              <w:bottom w:val="nil"/>
              <w:right w:val="nil"/>
            </w:tcBorders>
            <w:shd w:val="clear" w:color="auto" w:fill="auto"/>
            <w:noWrap/>
            <w:vAlign w:val="bottom"/>
            <w:hideMark/>
          </w:tcPr>
          <w:p w14:paraId="17530D27"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67,1%</w:t>
            </w:r>
          </w:p>
        </w:tc>
        <w:tc>
          <w:tcPr>
            <w:tcW w:w="1394" w:type="dxa"/>
            <w:tcBorders>
              <w:top w:val="nil"/>
              <w:left w:val="nil"/>
              <w:bottom w:val="nil"/>
              <w:right w:val="single" w:sz="4" w:space="0" w:color="auto"/>
            </w:tcBorders>
            <w:shd w:val="clear" w:color="auto" w:fill="auto"/>
            <w:noWrap/>
            <w:vAlign w:val="bottom"/>
            <w:hideMark/>
          </w:tcPr>
          <w:p w14:paraId="682C48FD"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91,1%</w:t>
            </w:r>
          </w:p>
        </w:tc>
      </w:tr>
      <w:tr w:rsidR="002214C6" w:rsidRPr="002214C6" w14:paraId="58585551"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3B534115"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78.670</w:t>
            </w:r>
          </w:p>
        </w:tc>
        <w:tc>
          <w:tcPr>
            <w:tcW w:w="1216" w:type="dxa"/>
            <w:tcBorders>
              <w:top w:val="nil"/>
              <w:left w:val="nil"/>
              <w:bottom w:val="nil"/>
              <w:right w:val="nil"/>
            </w:tcBorders>
            <w:shd w:val="clear" w:color="auto" w:fill="auto"/>
            <w:noWrap/>
            <w:vAlign w:val="bottom"/>
            <w:hideMark/>
          </w:tcPr>
          <w:p w14:paraId="03F4A696"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81.909</w:t>
            </w:r>
          </w:p>
        </w:tc>
        <w:tc>
          <w:tcPr>
            <w:tcW w:w="1174" w:type="dxa"/>
            <w:tcBorders>
              <w:top w:val="nil"/>
              <w:left w:val="nil"/>
              <w:bottom w:val="nil"/>
              <w:right w:val="nil"/>
            </w:tcBorders>
            <w:shd w:val="clear" w:color="auto" w:fill="auto"/>
            <w:noWrap/>
            <w:vAlign w:val="bottom"/>
            <w:hideMark/>
          </w:tcPr>
          <w:p w14:paraId="5BA787CE"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64,9%</w:t>
            </w:r>
          </w:p>
        </w:tc>
        <w:tc>
          <w:tcPr>
            <w:tcW w:w="1394" w:type="dxa"/>
            <w:tcBorders>
              <w:top w:val="nil"/>
              <w:left w:val="nil"/>
              <w:bottom w:val="nil"/>
              <w:right w:val="single" w:sz="4" w:space="0" w:color="auto"/>
            </w:tcBorders>
            <w:shd w:val="clear" w:color="auto" w:fill="auto"/>
            <w:noWrap/>
            <w:vAlign w:val="bottom"/>
            <w:hideMark/>
          </w:tcPr>
          <w:p w14:paraId="4511D655"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90,4%</w:t>
            </w:r>
          </w:p>
        </w:tc>
      </w:tr>
      <w:tr w:rsidR="002214C6" w:rsidRPr="002214C6" w14:paraId="159B9A9A"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4FCDE77B"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81.910</w:t>
            </w:r>
          </w:p>
        </w:tc>
        <w:tc>
          <w:tcPr>
            <w:tcW w:w="1216" w:type="dxa"/>
            <w:tcBorders>
              <w:top w:val="nil"/>
              <w:left w:val="nil"/>
              <w:bottom w:val="nil"/>
              <w:right w:val="nil"/>
            </w:tcBorders>
            <w:shd w:val="clear" w:color="auto" w:fill="auto"/>
            <w:noWrap/>
            <w:vAlign w:val="bottom"/>
            <w:hideMark/>
          </w:tcPr>
          <w:p w14:paraId="29363878"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85.146</w:t>
            </w:r>
          </w:p>
        </w:tc>
        <w:tc>
          <w:tcPr>
            <w:tcW w:w="1174" w:type="dxa"/>
            <w:tcBorders>
              <w:top w:val="nil"/>
              <w:left w:val="nil"/>
              <w:bottom w:val="nil"/>
              <w:right w:val="nil"/>
            </w:tcBorders>
            <w:shd w:val="clear" w:color="auto" w:fill="auto"/>
            <w:noWrap/>
            <w:vAlign w:val="bottom"/>
            <w:hideMark/>
          </w:tcPr>
          <w:p w14:paraId="202124D1"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62,5%</w:t>
            </w:r>
          </w:p>
        </w:tc>
        <w:tc>
          <w:tcPr>
            <w:tcW w:w="1394" w:type="dxa"/>
            <w:tcBorders>
              <w:top w:val="nil"/>
              <w:left w:val="nil"/>
              <w:bottom w:val="nil"/>
              <w:right w:val="single" w:sz="4" w:space="0" w:color="auto"/>
            </w:tcBorders>
            <w:shd w:val="clear" w:color="auto" w:fill="auto"/>
            <w:noWrap/>
            <w:vAlign w:val="bottom"/>
            <w:hideMark/>
          </w:tcPr>
          <w:p w14:paraId="328E3BDF"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89,8%</w:t>
            </w:r>
          </w:p>
        </w:tc>
      </w:tr>
      <w:tr w:rsidR="002214C6" w:rsidRPr="002214C6" w14:paraId="00237A5C"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0D86CF74"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85.147</w:t>
            </w:r>
          </w:p>
        </w:tc>
        <w:tc>
          <w:tcPr>
            <w:tcW w:w="1216" w:type="dxa"/>
            <w:tcBorders>
              <w:top w:val="nil"/>
              <w:left w:val="nil"/>
              <w:bottom w:val="nil"/>
              <w:right w:val="nil"/>
            </w:tcBorders>
            <w:shd w:val="clear" w:color="auto" w:fill="auto"/>
            <w:noWrap/>
            <w:vAlign w:val="bottom"/>
            <w:hideMark/>
          </w:tcPr>
          <w:p w14:paraId="07D14FE3"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88.388</w:t>
            </w:r>
          </w:p>
        </w:tc>
        <w:tc>
          <w:tcPr>
            <w:tcW w:w="1174" w:type="dxa"/>
            <w:tcBorders>
              <w:top w:val="nil"/>
              <w:left w:val="nil"/>
              <w:bottom w:val="nil"/>
              <w:right w:val="nil"/>
            </w:tcBorders>
            <w:shd w:val="clear" w:color="auto" w:fill="auto"/>
            <w:noWrap/>
            <w:vAlign w:val="bottom"/>
            <w:hideMark/>
          </w:tcPr>
          <w:p w14:paraId="03F27A88"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60,3%</w:t>
            </w:r>
          </w:p>
        </w:tc>
        <w:tc>
          <w:tcPr>
            <w:tcW w:w="1394" w:type="dxa"/>
            <w:tcBorders>
              <w:top w:val="nil"/>
              <w:left w:val="nil"/>
              <w:bottom w:val="nil"/>
              <w:right w:val="single" w:sz="4" w:space="0" w:color="auto"/>
            </w:tcBorders>
            <w:shd w:val="clear" w:color="auto" w:fill="auto"/>
            <w:noWrap/>
            <w:vAlign w:val="bottom"/>
            <w:hideMark/>
          </w:tcPr>
          <w:p w14:paraId="08535654"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89,4%</w:t>
            </w:r>
          </w:p>
        </w:tc>
      </w:tr>
      <w:tr w:rsidR="002214C6" w:rsidRPr="002214C6" w14:paraId="2D25A715"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6C19C47B"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88.389</w:t>
            </w:r>
          </w:p>
        </w:tc>
        <w:tc>
          <w:tcPr>
            <w:tcW w:w="1216" w:type="dxa"/>
            <w:tcBorders>
              <w:top w:val="nil"/>
              <w:left w:val="nil"/>
              <w:bottom w:val="nil"/>
              <w:right w:val="nil"/>
            </w:tcBorders>
            <w:shd w:val="clear" w:color="auto" w:fill="auto"/>
            <w:noWrap/>
            <w:vAlign w:val="bottom"/>
            <w:hideMark/>
          </w:tcPr>
          <w:p w14:paraId="33939135"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91.626</w:t>
            </w:r>
          </w:p>
        </w:tc>
        <w:tc>
          <w:tcPr>
            <w:tcW w:w="1174" w:type="dxa"/>
            <w:tcBorders>
              <w:top w:val="nil"/>
              <w:left w:val="nil"/>
              <w:bottom w:val="nil"/>
              <w:right w:val="nil"/>
            </w:tcBorders>
            <w:shd w:val="clear" w:color="auto" w:fill="auto"/>
            <w:noWrap/>
            <w:vAlign w:val="bottom"/>
            <w:hideMark/>
          </w:tcPr>
          <w:p w14:paraId="3F365D1E"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57,8%</w:t>
            </w:r>
          </w:p>
        </w:tc>
        <w:tc>
          <w:tcPr>
            <w:tcW w:w="1394" w:type="dxa"/>
            <w:tcBorders>
              <w:top w:val="nil"/>
              <w:left w:val="nil"/>
              <w:bottom w:val="nil"/>
              <w:right w:val="single" w:sz="4" w:space="0" w:color="auto"/>
            </w:tcBorders>
            <w:shd w:val="clear" w:color="auto" w:fill="auto"/>
            <w:noWrap/>
            <w:vAlign w:val="bottom"/>
            <w:hideMark/>
          </w:tcPr>
          <w:p w14:paraId="239F30F3"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89,1%</w:t>
            </w:r>
          </w:p>
        </w:tc>
      </w:tr>
      <w:tr w:rsidR="002214C6" w:rsidRPr="002214C6" w14:paraId="2E6C430F" w14:textId="77777777" w:rsidTr="002214C6">
        <w:trPr>
          <w:trHeight w:val="270"/>
        </w:trPr>
        <w:tc>
          <w:tcPr>
            <w:tcW w:w="1208" w:type="dxa"/>
            <w:tcBorders>
              <w:top w:val="nil"/>
              <w:left w:val="single" w:sz="4" w:space="0" w:color="auto"/>
              <w:bottom w:val="single" w:sz="4" w:space="0" w:color="auto"/>
              <w:right w:val="nil"/>
            </w:tcBorders>
            <w:shd w:val="clear" w:color="auto" w:fill="auto"/>
            <w:noWrap/>
            <w:vAlign w:val="bottom"/>
            <w:hideMark/>
          </w:tcPr>
          <w:p w14:paraId="18878B13"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91.627</w:t>
            </w:r>
          </w:p>
        </w:tc>
        <w:tc>
          <w:tcPr>
            <w:tcW w:w="1216" w:type="dxa"/>
            <w:tcBorders>
              <w:top w:val="nil"/>
              <w:left w:val="nil"/>
              <w:bottom w:val="single" w:sz="4" w:space="0" w:color="auto"/>
              <w:right w:val="nil"/>
            </w:tcBorders>
            <w:shd w:val="clear" w:color="auto" w:fill="auto"/>
            <w:noWrap/>
            <w:vAlign w:val="bottom"/>
            <w:hideMark/>
          </w:tcPr>
          <w:p w14:paraId="22EF2575"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94.863</w:t>
            </w:r>
          </w:p>
        </w:tc>
        <w:tc>
          <w:tcPr>
            <w:tcW w:w="1174" w:type="dxa"/>
            <w:tcBorders>
              <w:top w:val="nil"/>
              <w:left w:val="nil"/>
              <w:bottom w:val="single" w:sz="4" w:space="0" w:color="auto"/>
              <w:right w:val="nil"/>
            </w:tcBorders>
            <w:shd w:val="clear" w:color="auto" w:fill="auto"/>
            <w:noWrap/>
            <w:vAlign w:val="bottom"/>
            <w:hideMark/>
          </w:tcPr>
          <w:p w14:paraId="4B7CACE8"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55,5%</w:t>
            </w:r>
          </w:p>
        </w:tc>
        <w:tc>
          <w:tcPr>
            <w:tcW w:w="1394" w:type="dxa"/>
            <w:tcBorders>
              <w:top w:val="nil"/>
              <w:left w:val="nil"/>
              <w:bottom w:val="single" w:sz="4" w:space="0" w:color="auto"/>
              <w:right w:val="single" w:sz="4" w:space="0" w:color="auto"/>
            </w:tcBorders>
            <w:shd w:val="clear" w:color="auto" w:fill="auto"/>
            <w:noWrap/>
            <w:vAlign w:val="bottom"/>
            <w:hideMark/>
          </w:tcPr>
          <w:p w14:paraId="09020AFD"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88,4%</w:t>
            </w:r>
          </w:p>
        </w:tc>
      </w:tr>
    </w:tbl>
    <w:p w14:paraId="3EDE1C9A" w14:textId="77777777" w:rsidR="002A6FAC" w:rsidRDefault="002A6FAC"/>
    <w:p w14:paraId="69FC2612" w14:textId="77777777" w:rsidR="00BF464C" w:rsidRDefault="005D4E31">
      <w:r w:rsidRPr="00F571E2">
        <w:t>Kinderopvangtoeslagtabel 202</w:t>
      </w:r>
      <w:r>
        <w:t>2</w:t>
      </w:r>
      <w:r w:rsidRPr="00F571E2">
        <w:t xml:space="preserve"> (</w:t>
      </w:r>
      <w:r>
        <w:t>vervolg</w:t>
      </w:r>
      <w:r w:rsidRPr="00F571E2">
        <w:t>)</w:t>
      </w:r>
    </w:p>
    <w:tbl>
      <w:tblPr>
        <w:tblW w:w="4992" w:type="dxa"/>
        <w:tblCellMar>
          <w:left w:w="70" w:type="dxa"/>
          <w:right w:w="70" w:type="dxa"/>
        </w:tblCellMar>
        <w:tblLook w:val="04A0" w:firstRow="1" w:lastRow="0" w:firstColumn="1" w:lastColumn="0" w:noHBand="0" w:noVBand="1"/>
      </w:tblPr>
      <w:tblGrid>
        <w:gridCol w:w="1208"/>
        <w:gridCol w:w="1216"/>
        <w:gridCol w:w="1174"/>
        <w:gridCol w:w="1394"/>
      </w:tblGrid>
      <w:tr w:rsidR="002214C6" w:rsidRPr="002214C6" w14:paraId="4A2F334F" w14:textId="77777777" w:rsidTr="002214C6">
        <w:trPr>
          <w:trHeight w:val="270"/>
        </w:trPr>
        <w:tc>
          <w:tcPr>
            <w:tcW w:w="1208" w:type="dxa"/>
            <w:tcBorders>
              <w:top w:val="single" w:sz="4" w:space="0" w:color="auto"/>
              <w:left w:val="single" w:sz="4" w:space="0" w:color="auto"/>
              <w:bottom w:val="nil"/>
              <w:right w:val="nil"/>
            </w:tcBorders>
            <w:shd w:val="clear" w:color="auto" w:fill="auto"/>
            <w:noWrap/>
            <w:vAlign w:val="bottom"/>
            <w:hideMark/>
          </w:tcPr>
          <w:p w14:paraId="094D707C" w14:textId="77777777" w:rsidR="002214C6" w:rsidRPr="002214C6" w:rsidRDefault="002214C6" w:rsidP="002214C6">
            <w:pPr>
              <w:autoSpaceDN/>
              <w:spacing w:line="240" w:lineRule="auto"/>
              <w:textAlignment w:val="auto"/>
              <w:rPr>
                <w:rFonts w:eastAsia="Times New Roman" w:cs="Calibri"/>
              </w:rPr>
            </w:pPr>
            <w:r w:rsidRPr="002214C6">
              <w:rPr>
                <w:rFonts w:eastAsia="Times New Roman" w:cs="Calibri"/>
              </w:rPr>
              <w:t> </w:t>
            </w:r>
          </w:p>
        </w:tc>
        <w:tc>
          <w:tcPr>
            <w:tcW w:w="1216" w:type="dxa"/>
            <w:tcBorders>
              <w:top w:val="single" w:sz="4" w:space="0" w:color="auto"/>
              <w:left w:val="nil"/>
              <w:bottom w:val="nil"/>
              <w:right w:val="nil"/>
            </w:tcBorders>
            <w:shd w:val="clear" w:color="auto" w:fill="auto"/>
            <w:noWrap/>
            <w:vAlign w:val="bottom"/>
            <w:hideMark/>
          </w:tcPr>
          <w:p w14:paraId="7AE106C1" w14:textId="77777777" w:rsidR="002214C6" w:rsidRPr="002214C6" w:rsidRDefault="002214C6" w:rsidP="002214C6">
            <w:pPr>
              <w:autoSpaceDN/>
              <w:spacing w:line="240" w:lineRule="auto"/>
              <w:textAlignment w:val="auto"/>
              <w:rPr>
                <w:rFonts w:eastAsia="Times New Roman" w:cs="Calibri"/>
              </w:rPr>
            </w:pPr>
            <w:r w:rsidRPr="002214C6">
              <w:rPr>
                <w:rFonts w:eastAsia="Times New Roman" w:cs="Calibri"/>
              </w:rPr>
              <w:t> </w:t>
            </w:r>
          </w:p>
        </w:tc>
        <w:tc>
          <w:tcPr>
            <w:tcW w:w="2568" w:type="dxa"/>
            <w:gridSpan w:val="2"/>
            <w:tcBorders>
              <w:top w:val="single" w:sz="4" w:space="0" w:color="auto"/>
              <w:left w:val="nil"/>
              <w:bottom w:val="nil"/>
              <w:right w:val="single" w:sz="4" w:space="0" w:color="000000"/>
            </w:tcBorders>
            <w:shd w:val="clear" w:color="auto" w:fill="auto"/>
            <w:noWrap/>
            <w:vAlign w:val="bottom"/>
            <w:hideMark/>
          </w:tcPr>
          <w:p w14:paraId="25CD25C8" w14:textId="77777777" w:rsidR="002214C6" w:rsidRPr="002214C6" w:rsidRDefault="002214C6" w:rsidP="002214C6">
            <w:pPr>
              <w:autoSpaceDN/>
              <w:spacing w:line="240" w:lineRule="auto"/>
              <w:jc w:val="center"/>
              <w:textAlignment w:val="auto"/>
              <w:rPr>
                <w:rFonts w:eastAsia="Times New Roman" w:cs="Calibri"/>
              </w:rPr>
            </w:pPr>
            <w:r w:rsidRPr="002214C6">
              <w:rPr>
                <w:rFonts w:eastAsia="Times New Roman" w:cs="Calibri"/>
              </w:rPr>
              <w:t>Tegemoetkoming Rijk als</w:t>
            </w:r>
          </w:p>
        </w:tc>
      </w:tr>
      <w:tr w:rsidR="002214C6" w:rsidRPr="002214C6" w14:paraId="031E1949" w14:textId="77777777" w:rsidTr="002214C6">
        <w:trPr>
          <w:trHeight w:val="270"/>
        </w:trPr>
        <w:tc>
          <w:tcPr>
            <w:tcW w:w="2424" w:type="dxa"/>
            <w:gridSpan w:val="2"/>
            <w:tcBorders>
              <w:top w:val="nil"/>
              <w:left w:val="single" w:sz="4" w:space="0" w:color="auto"/>
              <w:bottom w:val="nil"/>
              <w:right w:val="nil"/>
            </w:tcBorders>
            <w:shd w:val="clear" w:color="auto" w:fill="auto"/>
            <w:noWrap/>
            <w:vAlign w:val="bottom"/>
            <w:hideMark/>
          </w:tcPr>
          <w:p w14:paraId="0FD04CBF" w14:textId="77777777" w:rsidR="002214C6" w:rsidRPr="002214C6" w:rsidRDefault="002214C6" w:rsidP="002214C6">
            <w:pPr>
              <w:autoSpaceDN/>
              <w:spacing w:line="240" w:lineRule="auto"/>
              <w:jc w:val="center"/>
              <w:textAlignment w:val="auto"/>
              <w:rPr>
                <w:rFonts w:eastAsia="Times New Roman" w:cs="Calibri"/>
              </w:rPr>
            </w:pPr>
            <w:r w:rsidRPr="002214C6">
              <w:rPr>
                <w:rFonts w:eastAsia="Times New Roman" w:cs="Calibri"/>
              </w:rPr>
              <w:t>(gezamenlijk)</w:t>
            </w:r>
          </w:p>
        </w:tc>
        <w:tc>
          <w:tcPr>
            <w:tcW w:w="2568" w:type="dxa"/>
            <w:gridSpan w:val="2"/>
            <w:tcBorders>
              <w:top w:val="nil"/>
              <w:left w:val="nil"/>
              <w:bottom w:val="nil"/>
              <w:right w:val="single" w:sz="4" w:space="0" w:color="000000"/>
            </w:tcBorders>
            <w:shd w:val="clear" w:color="auto" w:fill="auto"/>
            <w:noWrap/>
            <w:vAlign w:val="bottom"/>
            <w:hideMark/>
          </w:tcPr>
          <w:p w14:paraId="451CF635" w14:textId="77777777" w:rsidR="002214C6" w:rsidRPr="002214C6" w:rsidRDefault="002214C6" w:rsidP="002214C6">
            <w:pPr>
              <w:autoSpaceDN/>
              <w:spacing w:line="240" w:lineRule="auto"/>
              <w:jc w:val="center"/>
              <w:textAlignment w:val="auto"/>
              <w:rPr>
                <w:rFonts w:eastAsia="Times New Roman" w:cs="Calibri"/>
              </w:rPr>
            </w:pPr>
            <w:r w:rsidRPr="002214C6">
              <w:rPr>
                <w:rFonts w:eastAsia="Times New Roman" w:cs="Calibri"/>
              </w:rPr>
              <w:t>% van de kosten van</w:t>
            </w:r>
          </w:p>
        </w:tc>
      </w:tr>
      <w:tr w:rsidR="002214C6" w:rsidRPr="002214C6" w14:paraId="3CC0C54A" w14:textId="77777777" w:rsidTr="002214C6">
        <w:trPr>
          <w:trHeight w:val="270"/>
        </w:trPr>
        <w:tc>
          <w:tcPr>
            <w:tcW w:w="2424" w:type="dxa"/>
            <w:gridSpan w:val="2"/>
            <w:tcBorders>
              <w:top w:val="nil"/>
              <w:left w:val="single" w:sz="4" w:space="0" w:color="auto"/>
              <w:bottom w:val="nil"/>
              <w:right w:val="nil"/>
            </w:tcBorders>
            <w:shd w:val="clear" w:color="auto" w:fill="auto"/>
            <w:noWrap/>
            <w:vAlign w:val="bottom"/>
            <w:hideMark/>
          </w:tcPr>
          <w:p w14:paraId="34BCCAAE" w14:textId="77777777" w:rsidR="002214C6" w:rsidRPr="002214C6" w:rsidRDefault="002214C6" w:rsidP="002214C6">
            <w:pPr>
              <w:autoSpaceDN/>
              <w:spacing w:line="240" w:lineRule="auto"/>
              <w:jc w:val="center"/>
              <w:textAlignment w:val="auto"/>
              <w:rPr>
                <w:rFonts w:eastAsia="Times New Roman" w:cs="Calibri"/>
              </w:rPr>
            </w:pPr>
            <w:r w:rsidRPr="002214C6">
              <w:rPr>
                <w:rFonts w:eastAsia="Times New Roman" w:cs="Calibri"/>
              </w:rPr>
              <w:t>toetsingsinkomen (€)</w:t>
            </w:r>
          </w:p>
        </w:tc>
        <w:tc>
          <w:tcPr>
            <w:tcW w:w="2568" w:type="dxa"/>
            <w:gridSpan w:val="2"/>
            <w:tcBorders>
              <w:top w:val="nil"/>
              <w:left w:val="nil"/>
              <w:bottom w:val="nil"/>
              <w:right w:val="single" w:sz="4" w:space="0" w:color="000000"/>
            </w:tcBorders>
            <w:shd w:val="clear" w:color="auto" w:fill="auto"/>
            <w:noWrap/>
            <w:vAlign w:val="bottom"/>
            <w:hideMark/>
          </w:tcPr>
          <w:p w14:paraId="49B841CA" w14:textId="77777777" w:rsidR="002214C6" w:rsidRPr="002214C6" w:rsidRDefault="002214C6" w:rsidP="002214C6">
            <w:pPr>
              <w:autoSpaceDN/>
              <w:spacing w:line="240" w:lineRule="auto"/>
              <w:jc w:val="center"/>
              <w:textAlignment w:val="auto"/>
              <w:rPr>
                <w:rFonts w:eastAsia="Times New Roman" w:cs="Calibri"/>
              </w:rPr>
            </w:pPr>
            <w:r w:rsidRPr="002214C6">
              <w:rPr>
                <w:rFonts w:eastAsia="Times New Roman" w:cs="Calibri"/>
              </w:rPr>
              <w:t>kinderopvang</w:t>
            </w:r>
          </w:p>
        </w:tc>
      </w:tr>
      <w:tr w:rsidR="002214C6" w:rsidRPr="002214C6" w14:paraId="461A9166"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4A5D78BB" w14:textId="77777777" w:rsidR="002214C6" w:rsidRPr="002214C6" w:rsidRDefault="002214C6" w:rsidP="002214C6">
            <w:pPr>
              <w:autoSpaceDN/>
              <w:spacing w:line="240" w:lineRule="auto"/>
              <w:textAlignment w:val="auto"/>
              <w:rPr>
                <w:rFonts w:eastAsia="Times New Roman" w:cs="Calibri"/>
              </w:rPr>
            </w:pPr>
            <w:r w:rsidRPr="002214C6">
              <w:rPr>
                <w:rFonts w:eastAsia="Times New Roman" w:cs="Calibri"/>
              </w:rPr>
              <w:t> </w:t>
            </w:r>
          </w:p>
        </w:tc>
        <w:tc>
          <w:tcPr>
            <w:tcW w:w="1216" w:type="dxa"/>
            <w:tcBorders>
              <w:top w:val="nil"/>
              <w:left w:val="nil"/>
              <w:bottom w:val="nil"/>
              <w:right w:val="nil"/>
            </w:tcBorders>
            <w:shd w:val="clear" w:color="auto" w:fill="auto"/>
            <w:noWrap/>
            <w:vAlign w:val="bottom"/>
            <w:hideMark/>
          </w:tcPr>
          <w:p w14:paraId="7EED7765" w14:textId="77777777" w:rsidR="002214C6" w:rsidRPr="002214C6" w:rsidRDefault="002214C6" w:rsidP="002214C6">
            <w:pPr>
              <w:autoSpaceDN/>
              <w:spacing w:line="240" w:lineRule="auto"/>
              <w:textAlignment w:val="auto"/>
              <w:rPr>
                <w:rFonts w:eastAsia="Times New Roman" w:cs="Calibri"/>
              </w:rPr>
            </w:pPr>
          </w:p>
        </w:tc>
        <w:tc>
          <w:tcPr>
            <w:tcW w:w="1174" w:type="dxa"/>
            <w:tcBorders>
              <w:top w:val="nil"/>
              <w:left w:val="nil"/>
              <w:bottom w:val="nil"/>
              <w:right w:val="nil"/>
            </w:tcBorders>
            <w:shd w:val="clear" w:color="auto" w:fill="auto"/>
            <w:noWrap/>
            <w:vAlign w:val="bottom"/>
            <w:hideMark/>
          </w:tcPr>
          <w:p w14:paraId="770A593F" w14:textId="77777777" w:rsidR="002214C6" w:rsidRPr="002214C6" w:rsidRDefault="002214C6" w:rsidP="002214C6">
            <w:pPr>
              <w:autoSpaceDN/>
              <w:spacing w:line="240" w:lineRule="auto"/>
              <w:jc w:val="center"/>
              <w:textAlignment w:val="auto"/>
              <w:rPr>
                <w:rFonts w:eastAsia="Times New Roman" w:cs="Calibri"/>
              </w:rPr>
            </w:pPr>
            <w:r w:rsidRPr="002214C6">
              <w:rPr>
                <w:rFonts w:eastAsia="Times New Roman" w:cs="Calibri"/>
              </w:rPr>
              <w:t>eerste</w:t>
            </w:r>
          </w:p>
        </w:tc>
        <w:tc>
          <w:tcPr>
            <w:tcW w:w="1394" w:type="dxa"/>
            <w:tcBorders>
              <w:top w:val="nil"/>
              <w:left w:val="nil"/>
              <w:bottom w:val="nil"/>
              <w:right w:val="single" w:sz="4" w:space="0" w:color="auto"/>
            </w:tcBorders>
            <w:shd w:val="clear" w:color="auto" w:fill="auto"/>
            <w:noWrap/>
            <w:vAlign w:val="bottom"/>
            <w:hideMark/>
          </w:tcPr>
          <w:p w14:paraId="630EB3F4" w14:textId="77777777" w:rsidR="002214C6" w:rsidRPr="002214C6" w:rsidRDefault="002214C6" w:rsidP="002214C6">
            <w:pPr>
              <w:autoSpaceDN/>
              <w:spacing w:line="240" w:lineRule="auto"/>
              <w:jc w:val="center"/>
              <w:textAlignment w:val="auto"/>
              <w:rPr>
                <w:rFonts w:eastAsia="Times New Roman" w:cs="Calibri"/>
              </w:rPr>
            </w:pPr>
            <w:r w:rsidRPr="002214C6">
              <w:rPr>
                <w:rFonts w:eastAsia="Times New Roman" w:cs="Calibri"/>
              </w:rPr>
              <w:t>volgend</w:t>
            </w:r>
          </w:p>
        </w:tc>
      </w:tr>
      <w:tr w:rsidR="002214C6" w:rsidRPr="002214C6" w14:paraId="05F86DC4" w14:textId="77777777" w:rsidTr="002214C6">
        <w:trPr>
          <w:trHeight w:val="270"/>
        </w:trPr>
        <w:tc>
          <w:tcPr>
            <w:tcW w:w="1208" w:type="dxa"/>
            <w:tcBorders>
              <w:top w:val="nil"/>
              <w:left w:val="single" w:sz="4" w:space="0" w:color="auto"/>
              <w:bottom w:val="single" w:sz="4" w:space="0" w:color="auto"/>
              <w:right w:val="nil"/>
            </w:tcBorders>
            <w:shd w:val="clear" w:color="auto" w:fill="auto"/>
            <w:noWrap/>
            <w:vAlign w:val="bottom"/>
            <w:hideMark/>
          </w:tcPr>
          <w:p w14:paraId="0448D644" w14:textId="77777777" w:rsidR="002214C6" w:rsidRPr="002214C6" w:rsidRDefault="002214C6" w:rsidP="002214C6">
            <w:pPr>
              <w:autoSpaceDN/>
              <w:spacing w:line="240" w:lineRule="auto"/>
              <w:textAlignment w:val="auto"/>
              <w:rPr>
                <w:rFonts w:eastAsia="Times New Roman" w:cs="Calibri"/>
              </w:rPr>
            </w:pPr>
            <w:r w:rsidRPr="002214C6">
              <w:rPr>
                <w:rFonts w:eastAsia="Times New Roman" w:cs="Calibri"/>
              </w:rPr>
              <w:t> </w:t>
            </w:r>
          </w:p>
        </w:tc>
        <w:tc>
          <w:tcPr>
            <w:tcW w:w="1216" w:type="dxa"/>
            <w:tcBorders>
              <w:top w:val="nil"/>
              <w:left w:val="nil"/>
              <w:bottom w:val="single" w:sz="4" w:space="0" w:color="auto"/>
              <w:right w:val="nil"/>
            </w:tcBorders>
            <w:shd w:val="clear" w:color="auto" w:fill="auto"/>
            <w:noWrap/>
            <w:vAlign w:val="bottom"/>
            <w:hideMark/>
          </w:tcPr>
          <w:p w14:paraId="7950AADE" w14:textId="77777777" w:rsidR="002214C6" w:rsidRPr="002214C6" w:rsidRDefault="002214C6" w:rsidP="002214C6">
            <w:pPr>
              <w:autoSpaceDN/>
              <w:spacing w:line="240" w:lineRule="auto"/>
              <w:textAlignment w:val="auto"/>
              <w:rPr>
                <w:rFonts w:eastAsia="Times New Roman" w:cs="Calibri"/>
              </w:rPr>
            </w:pPr>
            <w:r w:rsidRPr="002214C6">
              <w:rPr>
                <w:rFonts w:eastAsia="Times New Roman" w:cs="Calibri"/>
              </w:rPr>
              <w:t> </w:t>
            </w:r>
          </w:p>
        </w:tc>
        <w:tc>
          <w:tcPr>
            <w:tcW w:w="1174" w:type="dxa"/>
            <w:tcBorders>
              <w:top w:val="nil"/>
              <w:left w:val="nil"/>
              <w:bottom w:val="single" w:sz="4" w:space="0" w:color="auto"/>
              <w:right w:val="nil"/>
            </w:tcBorders>
            <w:shd w:val="clear" w:color="auto" w:fill="auto"/>
            <w:noWrap/>
            <w:vAlign w:val="bottom"/>
            <w:hideMark/>
          </w:tcPr>
          <w:p w14:paraId="26B80162" w14:textId="77777777" w:rsidR="002214C6" w:rsidRPr="002214C6" w:rsidRDefault="002214C6" w:rsidP="002214C6">
            <w:pPr>
              <w:autoSpaceDN/>
              <w:spacing w:line="240" w:lineRule="auto"/>
              <w:jc w:val="center"/>
              <w:textAlignment w:val="auto"/>
              <w:rPr>
                <w:rFonts w:eastAsia="Times New Roman" w:cs="Calibri"/>
              </w:rPr>
            </w:pPr>
            <w:r w:rsidRPr="002214C6">
              <w:rPr>
                <w:rFonts w:eastAsia="Times New Roman" w:cs="Calibri"/>
              </w:rPr>
              <w:t>kind</w:t>
            </w:r>
          </w:p>
        </w:tc>
        <w:tc>
          <w:tcPr>
            <w:tcW w:w="1394" w:type="dxa"/>
            <w:tcBorders>
              <w:top w:val="nil"/>
              <w:left w:val="nil"/>
              <w:bottom w:val="single" w:sz="4" w:space="0" w:color="auto"/>
              <w:right w:val="single" w:sz="4" w:space="0" w:color="auto"/>
            </w:tcBorders>
            <w:shd w:val="clear" w:color="auto" w:fill="auto"/>
            <w:noWrap/>
            <w:vAlign w:val="bottom"/>
            <w:hideMark/>
          </w:tcPr>
          <w:p w14:paraId="7C19D474" w14:textId="77777777" w:rsidR="002214C6" w:rsidRPr="002214C6" w:rsidRDefault="002214C6" w:rsidP="002214C6">
            <w:pPr>
              <w:autoSpaceDN/>
              <w:spacing w:line="240" w:lineRule="auto"/>
              <w:jc w:val="center"/>
              <w:textAlignment w:val="auto"/>
              <w:rPr>
                <w:rFonts w:eastAsia="Times New Roman" w:cs="Calibri"/>
              </w:rPr>
            </w:pPr>
            <w:r w:rsidRPr="002214C6">
              <w:rPr>
                <w:rFonts w:eastAsia="Times New Roman" w:cs="Calibri"/>
              </w:rPr>
              <w:t>kind</w:t>
            </w:r>
          </w:p>
        </w:tc>
      </w:tr>
      <w:tr w:rsidR="002214C6" w:rsidRPr="002214C6" w14:paraId="4418E2F3"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2697A2FD"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94.864</w:t>
            </w:r>
          </w:p>
        </w:tc>
        <w:tc>
          <w:tcPr>
            <w:tcW w:w="1216" w:type="dxa"/>
            <w:tcBorders>
              <w:top w:val="nil"/>
              <w:left w:val="nil"/>
              <w:bottom w:val="nil"/>
              <w:right w:val="nil"/>
            </w:tcBorders>
            <w:shd w:val="clear" w:color="auto" w:fill="auto"/>
            <w:noWrap/>
            <w:vAlign w:val="bottom"/>
            <w:hideMark/>
          </w:tcPr>
          <w:p w14:paraId="225492E3"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98.102</w:t>
            </w:r>
          </w:p>
        </w:tc>
        <w:tc>
          <w:tcPr>
            <w:tcW w:w="1174" w:type="dxa"/>
            <w:tcBorders>
              <w:top w:val="nil"/>
              <w:left w:val="nil"/>
              <w:bottom w:val="nil"/>
              <w:right w:val="nil"/>
            </w:tcBorders>
            <w:shd w:val="clear" w:color="auto" w:fill="auto"/>
            <w:noWrap/>
            <w:vAlign w:val="bottom"/>
            <w:hideMark/>
          </w:tcPr>
          <w:p w14:paraId="2193D32D"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53,3%</w:t>
            </w:r>
          </w:p>
        </w:tc>
        <w:tc>
          <w:tcPr>
            <w:tcW w:w="1394" w:type="dxa"/>
            <w:tcBorders>
              <w:top w:val="nil"/>
              <w:left w:val="nil"/>
              <w:bottom w:val="nil"/>
              <w:right w:val="single" w:sz="4" w:space="0" w:color="auto"/>
            </w:tcBorders>
            <w:shd w:val="clear" w:color="auto" w:fill="auto"/>
            <w:noWrap/>
            <w:vAlign w:val="bottom"/>
            <w:hideMark/>
          </w:tcPr>
          <w:p w14:paraId="3F192E7A"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88,0%</w:t>
            </w:r>
          </w:p>
        </w:tc>
      </w:tr>
      <w:tr w:rsidR="002214C6" w:rsidRPr="002214C6" w14:paraId="357DD17D"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09C75BF2"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98.103</w:t>
            </w:r>
          </w:p>
        </w:tc>
        <w:tc>
          <w:tcPr>
            <w:tcW w:w="1216" w:type="dxa"/>
            <w:tcBorders>
              <w:top w:val="nil"/>
              <w:left w:val="nil"/>
              <w:bottom w:val="nil"/>
              <w:right w:val="nil"/>
            </w:tcBorders>
            <w:shd w:val="clear" w:color="auto" w:fill="auto"/>
            <w:noWrap/>
            <w:vAlign w:val="bottom"/>
            <w:hideMark/>
          </w:tcPr>
          <w:p w14:paraId="401F1A52"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101.405</w:t>
            </w:r>
          </w:p>
        </w:tc>
        <w:tc>
          <w:tcPr>
            <w:tcW w:w="1174" w:type="dxa"/>
            <w:tcBorders>
              <w:top w:val="nil"/>
              <w:left w:val="nil"/>
              <w:bottom w:val="nil"/>
              <w:right w:val="nil"/>
            </w:tcBorders>
            <w:shd w:val="clear" w:color="auto" w:fill="auto"/>
            <w:noWrap/>
            <w:vAlign w:val="bottom"/>
            <w:hideMark/>
          </w:tcPr>
          <w:p w14:paraId="0441999A"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50,9%</w:t>
            </w:r>
          </w:p>
        </w:tc>
        <w:tc>
          <w:tcPr>
            <w:tcW w:w="1394" w:type="dxa"/>
            <w:tcBorders>
              <w:top w:val="nil"/>
              <w:left w:val="nil"/>
              <w:bottom w:val="nil"/>
              <w:right w:val="single" w:sz="4" w:space="0" w:color="auto"/>
            </w:tcBorders>
            <w:shd w:val="clear" w:color="auto" w:fill="auto"/>
            <w:noWrap/>
            <w:vAlign w:val="bottom"/>
            <w:hideMark/>
          </w:tcPr>
          <w:p w14:paraId="63AE6C4E"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87,5%</w:t>
            </w:r>
          </w:p>
        </w:tc>
      </w:tr>
      <w:tr w:rsidR="002214C6" w:rsidRPr="002214C6" w14:paraId="143FCF69"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36DA8A7E"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101.406</w:t>
            </w:r>
          </w:p>
        </w:tc>
        <w:tc>
          <w:tcPr>
            <w:tcW w:w="1216" w:type="dxa"/>
            <w:tcBorders>
              <w:top w:val="nil"/>
              <w:left w:val="nil"/>
              <w:bottom w:val="nil"/>
              <w:right w:val="nil"/>
            </w:tcBorders>
            <w:shd w:val="clear" w:color="auto" w:fill="auto"/>
            <w:noWrap/>
            <w:vAlign w:val="bottom"/>
            <w:hideMark/>
          </w:tcPr>
          <w:p w14:paraId="78FFD4B1"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104.723</w:t>
            </w:r>
          </w:p>
        </w:tc>
        <w:tc>
          <w:tcPr>
            <w:tcW w:w="1174" w:type="dxa"/>
            <w:tcBorders>
              <w:top w:val="nil"/>
              <w:left w:val="nil"/>
              <w:bottom w:val="nil"/>
              <w:right w:val="nil"/>
            </w:tcBorders>
            <w:shd w:val="clear" w:color="auto" w:fill="auto"/>
            <w:noWrap/>
            <w:vAlign w:val="bottom"/>
            <w:hideMark/>
          </w:tcPr>
          <w:p w14:paraId="098F911A"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48,8%</w:t>
            </w:r>
          </w:p>
        </w:tc>
        <w:tc>
          <w:tcPr>
            <w:tcW w:w="1394" w:type="dxa"/>
            <w:tcBorders>
              <w:top w:val="nil"/>
              <w:left w:val="nil"/>
              <w:bottom w:val="nil"/>
              <w:right w:val="single" w:sz="4" w:space="0" w:color="auto"/>
            </w:tcBorders>
            <w:shd w:val="clear" w:color="auto" w:fill="auto"/>
            <w:noWrap/>
            <w:vAlign w:val="bottom"/>
            <w:hideMark/>
          </w:tcPr>
          <w:p w14:paraId="63BE3D3A"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86,8%</w:t>
            </w:r>
          </w:p>
        </w:tc>
      </w:tr>
      <w:tr w:rsidR="002214C6" w:rsidRPr="002214C6" w14:paraId="206C8A87"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6F04B3DA"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104.724</w:t>
            </w:r>
          </w:p>
        </w:tc>
        <w:tc>
          <w:tcPr>
            <w:tcW w:w="1216" w:type="dxa"/>
            <w:tcBorders>
              <w:top w:val="nil"/>
              <w:left w:val="nil"/>
              <w:bottom w:val="nil"/>
              <w:right w:val="nil"/>
            </w:tcBorders>
            <w:shd w:val="clear" w:color="auto" w:fill="auto"/>
            <w:noWrap/>
            <w:vAlign w:val="bottom"/>
            <w:hideMark/>
          </w:tcPr>
          <w:p w14:paraId="2274A1B1"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108.039</w:t>
            </w:r>
          </w:p>
        </w:tc>
        <w:tc>
          <w:tcPr>
            <w:tcW w:w="1174" w:type="dxa"/>
            <w:tcBorders>
              <w:top w:val="nil"/>
              <w:left w:val="nil"/>
              <w:bottom w:val="nil"/>
              <w:right w:val="nil"/>
            </w:tcBorders>
            <w:shd w:val="clear" w:color="auto" w:fill="auto"/>
            <w:noWrap/>
            <w:vAlign w:val="bottom"/>
            <w:hideMark/>
          </w:tcPr>
          <w:p w14:paraId="6F6BC190"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46,7%</w:t>
            </w:r>
          </w:p>
        </w:tc>
        <w:tc>
          <w:tcPr>
            <w:tcW w:w="1394" w:type="dxa"/>
            <w:tcBorders>
              <w:top w:val="nil"/>
              <w:left w:val="nil"/>
              <w:bottom w:val="nil"/>
              <w:right w:val="single" w:sz="4" w:space="0" w:color="auto"/>
            </w:tcBorders>
            <w:shd w:val="clear" w:color="auto" w:fill="auto"/>
            <w:noWrap/>
            <w:vAlign w:val="bottom"/>
            <w:hideMark/>
          </w:tcPr>
          <w:p w14:paraId="13EDAF58"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86,3%</w:t>
            </w:r>
          </w:p>
        </w:tc>
      </w:tr>
      <w:tr w:rsidR="002214C6" w:rsidRPr="002214C6" w14:paraId="3591C95D"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7F0B226C"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108.040</w:t>
            </w:r>
          </w:p>
        </w:tc>
        <w:tc>
          <w:tcPr>
            <w:tcW w:w="1216" w:type="dxa"/>
            <w:tcBorders>
              <w:top w:val="nil"/>
              <w:left w:val="nil"/>
              <w:bottom w:val="nil"/>
              <w:right w:val="nil"/>
            </w:tcBorders>
            <w:shd w:val="clear" w:color="auto" w:fill="auto"/>
            <w:noWrap/>
            <w:vAlign w:val="bottom"/>
            <w:hideMark/>
          </w:tcPr>
          <w:p w14:paraId="69349114"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111.356</w:t>
            </w:r>
          </w:p>
        </w:tc>
        <w:tc>
          <w:tcPr>
            <w:tcW w:w="1174" w:type="dxa"/>
            <w:tcBorders>
              <w:top w:val="nil"/>
              <w:left w:val="nil"/>
              <w:bottom w:val="nil"/>
              <w:right w:val="nil"/>
            </w:tcBorders>
            <w:shd w:val="clear" w:color="auto" w:fill="auto"/>
            <w:noWrap/>
            <w:vAlign w:val="bottom"/>
            <w:hideMark/>
          </w:tcPr>
          <w:p w14:paraId="20AE923F"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44,6%</w:t>
            </w:r>
          </w:p>
        </w:tc>
        <w:tc>
          <w:tcPr>
            <w:tcW w:w="1394" w:type="dxa"/>
            <w:tcBorders>
              <w:top w:val="nil"/>
              <w:left w:val="nil"/>
              <w:bottom w:val="nil"/>
              <w:right w:val="single" w:sz="4" w:space="0" w:color="auto"/>
            </w:tcBorders>
            <w:shd w:val="clear" w:color="auto" w:fill="auto"/>
            <w:noWrap/>
            <w:vAlign w:val="bottom"/>
            <w:hideMark/>
          </w:tcPr>
          <w:p w14:paraId="642D3687"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85,9%</w:t>
            </w:r>
          </w:p>
        </w:tc>
      </w:tr>
      <w:tr w:rsidR="002214C6" w:rsidRPr="002214C6" w14:paraId="440EF02A"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34E6B2FA"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111.357</w:t>
            </w:r>
          </w:p>
        </w:tc>
        <w:tc>
          <w:tcPr>
            <w:tcW w:w="1216" w:type="dxa"/>
            <w:tcBorders>
              <w:top w:val="nil"/>
              <w:left w:val="nil"/>
              <w:bottom w:val="nil"/>
              <w:right w:val="nil"/>
            </w:tcBorders>
            <w:shd w:val="clear" w:color="auto" w:fill="auto"/>
            <w:noWrap/>
            <w:vAlign w:val="bottom"/>
            <w:hideMark/>
          </w:tcPr>
          <w:p w14:paraId="116CF185"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114.671</w:t>
            </w:r>
          </w:p>
        </w:tc>
        <w:tc>
          <w:tcPr>
            <w:tcW w:w="1174" w:type="dxa"/>
            <w:tcBorders>
              <w:top w:val="nil"/>
              <w:left w:val="nil"/>
              <w:bottom w:val="nil"/>
              <w:right w:val="nil"/>
            </w:tcBorders>
            <w:shd w:val="clear" w:color="auto" w:fill="auto"/>
            <w:noWrap/>
            <w:vAlign w:val="bottom"/>
            <w:hideMark/>
          </w:tcPr>
          <w:p w14:paraId="1B7A46D9"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42,4%</w:t>
            </w:r>
          </w:p>
        </w:tc>
        <w:tc>
          <w:tcPr>
            <w:tcW w:w="1394" w:type="dxa"/>
            <w:tcBorders>
              <w:top w:val="nil"/>
              <w:left w:val="nil"/>
              <w:bottom w:val="nil"/>
              <w:right w:val="single" w:sz="4" w:space="0" w:color="auto"/>
            </w:tcBorders>
            <w:shd w:val="clear" w:color="auto" w:fill="auto"/>
            <w:noWrap/>
            <w:vAlign w:val="bottom"/>
            <w:hideMark/>
          </w:tcPr>
          <w:p w14:paraId="3CFCA9E8"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85,6%</w:t>
            </w:r>
          </w:p>
        </w:tc>
      </w:tr>
      <w:tr w:rsidR="002214C6" w:rsidRPr="002214C6" w14:paraId="568E7D60"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0C204EA8"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114.672</w:t>
            </w:r>
          </w:p>
        </w:tc>
        <w:tc>
          <w:tcPr>
            <w:tcW w:w="1216" w:type="dxa"/>
            <w:tcBorders>
              <w:top w:val="nil"/>
              <w:left w:val="nil"/>
              <w:bottom w:val="nil"/>
              <w:right w:val="nil"/>
            </w:tcBorders>
            <w:shd w:val="clear" w:color="auto" w:fill="auto"/>
            <w:noWrap/>
            <w:vAlign w:val="bottom"/>
            <w:hideMark/>
          </w:tcPr>
          <w:p w14:paraId="4E763CE0"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117.989</w:t>
            </w:r>
          </w:p>
        </w:tc>
        <w:tc>
          <w:tcPr>
            <w:tcW w:w="1174" w:type="dxa"/>
            <w:tcBorders>
              <w:top w:val="nil"/>
              <w:left w:val="nil"/>
              <w:bottom w:val="nil"/>
              <w:right w:val="nil"/>
            </w:tcBorders>
            <w:shd w:val="clear" w:color="auto" w:fill="auto"/>
            <w:noWrap/>
            <w:vAlign w:val="bottom"/>
            <w:hideMark/>
          </w:tcPr>
          <w:p w14:paraId="290A3FE8"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40,5%</w:t>
            </w:r>
          </w:p>
        </w:tc>
        <w:tc>
          <w:tcPr>
            <w:tcW w:w="1394" w:type="dxa"/>
            <w:tcBorders>
              <w:top w:val="nil"/>
              <w:left w:val="nil"/>
              <w:bottom w:val="nil"/>
              <w:right w:val="single" w:sz="4" w:space="0" w:color="auto"/>
            </w:tcBorders>
            <w:shd w:val="clear" w:color="auto" w:fill="auto"/>
            <w:noWrap/>
            <w:vAlign w:val="bottom"/>
            <w:hideMark/>
          </w:tcPr>
          <w:p w14:paraId="09427BA7"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84,9%</w:t>
            </w:r>
          </w:p>
        </w:tc>
      </w:tr>
      <w:tr w:rsidR="002214C6" w:rsidRPr="002214C6" w14:paraId="4C6B08FF"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336C9F32"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117.990</w:t>
            </w:r>
          </w:p>
        </w:tc>
        <w:tc>
          <w:tcPr>
            <w:tcW w:w="1216" w:type="dxa"/>
            <w:tcBorders>
              <w:top w:val="nil"/>
              <w:left w:val="nil"/>
              <w:bottom w:val="nil"/>
              <w:right w:val="nil"/>
            </w:tcBorders>
            <w:shd w:val="clear" w:color="auto" w:fill="auto"/>
            <w:noWrap/>
            <w:vAlign w:val="bottom"/>
            <w:hideMark/>
          </w:tcPr>
          <w:p w14:paraId="69241A67"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121.307</w:t>
            </w:r>
          </w:p>
        </w:tc>
        <w:tc>
          <w:tcPr>
            <w:tcW w:w="1174" w:type="dxa"/>
            <w:tcBorders>
              <w:top w:val="nil"/>
              <w:left w:val="nil"/>
              <w:bottom w:val="nil"/>
              <w:right w:val="nil"/>
            </w:tcBorders>
            <w:shd w:val="clear" w:color="auto" w:fill="auto"/>
            <w:noWrap/>
            <w:vAlign w:val="bottom"/>
            <w:hideMark/>
          </w:tcPr>
          <w:p w14:paraId="2915C812"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38,6%</w:t>
            </w:r>
          </w:p>
        </w:tc>
        <w:tc>
          <w:tcPr>
            <w:tcW w:w="1394" w:type="dxa"/>
            <w:tcBorders>
              <w:top w:val="nil"/>
              <w:left w:val="nil"/>
              <w:bottom w:val="nil"/>
              <w:right w:val="single" w:sz="4" w:space="0" w:color="auto"/>
            </w:tcBorders>
            <w:shd w:val="clear" w:color="auto" w:fill="auto"/>
            <w:noWrap/>
            <w:vAlign w:val="bottom"/>
            <w:hideMark/>
          </w:tcPr>
          <w:p w14:paraId="43A92E89"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84,3%</w:t>
            </w:r>
          </w:p>
        </w:tc>
      </w:tr>
      <w:tr w:rsidR="002214C6" w:rsidRPr="002214C6" w14:paraId="43FA69AC"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41450690"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121.308</w:t>
            </w:r>
          </w:p>
        </w:tc>
        <w:tc>
          <w:tcPr>
            <w:tcW w:w="1216" w:type="dxa"/>
            <w:tcBorders>
              <w:top w:val="nil"/>
              <w:left w:val="nil"/>
              <w:bottom w:val="nil"/>
              <w:right w:val="nil"/>
            </w:tcBorders>
            <w:shd w:val="clear" w:color="auto" w:fill="auto"/>
            <w:noWrap/>
            <w:vAlign w:val="bottom"/>
            <w:hideMark/>
          </w:tcPr>
          <w:p w14:paraId="101999AF"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124.625</w:t>
            </w:r>
          </w:p>
        </w:tc>
        <w:tc>
          <w:tcPr>
            <w:tcW w:w="1174" w:type="dxa"/>
            <w:tcBorders>
              <w:top w:val="nil"/>
              <w:left w:val="nil"/>
              <w:bottom w:val="nil"/>
              <w:right w:val="nil"/>
            </w:tcBorders>
            <w:shd w:val="clear" w:color="auto" w:fill="auto"/>
            <w:noWrap/>
            <w:vAlign w:val="bottom"/>
            <w:hideMark/>
          </w:tcPr>
          <w:p w14:paraId="41297A1C"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36,7%</w:t>
            </w:r>
          </w:p>
        </w:tc>
        <w:tc>
          <w:tcPr>
            <w:tcW w:w="1394" w:type="dxa"/>
            <w:tcBorders>
              <w:top w:val="nil"/>
              <w:left w:val="nil"/>
              <w:bottom w:val="nil"/>
              <w:right w:val="single" w:sz="4" w:space="0" w:color="auto"/>
            </w:tcBorders>
            <w:shd w:val="clear" w:color="auto" w:fill="auto"/>
            <w:noWrap/>
            <w:vAlign w:val="bottom"/>
            <w:hideMark/>
          </w:tcPr>
          <w:p w14:paraId="6F3E4C1A"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83,9%</w:t>
            </w:r>
          </w:p>
        </w:tc>
      </w:tr>
      <w:tr w:rsidR="002214C6" w:rsidRPr="002214C6" w14:paraId="6BA9ECC5"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78B4B86F"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124.626</w:t>
            </w:r>
          </w:p>
        </w:tc>
        <w:tc>
          <w:tcPr>
            <w:tcW w:w="1216" w:type="dxa"/>
            <w:tcBorders>
              <w:top w:val="nil"/>
              <w:left w:val="nil"/>
              <w:bottom w:val="nil"/>
              <w:right w:val="nil"/>
            </w:tcBorders>
            <w:shd w:val="clear" w:color="auto" w:fill="auto"/>
            <w:noWrap/>
            <w:vAlign w:val="bottom"/>
            <w:hideMark/>
          </w:tcPr>
          <w:p w14:paraId="48146911"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127.938</w:t>
            </w:r>
          </w:p>
        </w:tc>
        <w:tc>
          <w:tcPr>
            <w:tcW w:w="1174" w:type="dxa"/>
            <w:tcBorders>
              <w:top w:val="nil"/>
              <w:left w:val="nil"/>
              <w:bottom w:val="nil"/>
              <w:right w:val="nil"/>
            </w:tcBorders>
            <w:shd w:val="clear" w:color="auto" w:fill="auto"/>
            <w:noWrap/>
            <w:vAlign w:val="bottom"/>
            <w:hideMark/>
          </w:tcPr>
          <w:p w14:paraId="520F9CFF"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34,7%</w:t>
            </w:r>
          </w:p>
        </w:tc>
        <w:tc>
          <w:tcPr>
            <w:tcW w:w="1394" w:type="dxa"/>
            <w:tcBorders>
              <w:top w:val="nil"/>
              <w:left w:val="nil"/>
              <w:bottom w:val="nil"/>
              <w:right w:val="single" w:sz="4" w:space="0" w:color="auto"/>
            </w:tcBorders>
            <w:shd w:val="clear" w:color="auto" w:fill="auto"/>
            <w:noWrap/>
            <w:vAlign w:val="bottom"/>
            <w:hideMark/>
          </w:tcPr>
          <w:p w14:paraId="3C06CB16"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83,3%</w:t>
            </w:r>
          </w:p>
        </w:tc>
      </w:tr>
      <w:tr w:rsidR="002214C6" w:rsidRPr="002214C6" w14:paraId="5415582B"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70ED4357"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127.939</w:t>
            </w:r>
          </w:p>
        </w:tc>
        <w:tc>
          <w:tcPr>
            <w:tcW w:w="1216" w:type="dxa"/>
            <w:tcBorders>
              <w:top w:val="nil"/>
              <w:left w:val="nil"/>
              <w:bottom w:val="nil"/>
              <w:right w:val="nil"/>
            </w:tcBorders>
            <w:shd w:val="clear" w:color="auto" w:fill="auto"/>
            <w:noWrap/>
            <w:vAlign w:val="bottom"/>
            <w:hideMark/>
          </w:tcPr>
          <w:p w14:paraId="593D5185"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131.255</w:t>
            </w:r>
          </w:p>
        </w:tc>
        <w:tc>
          <w:tcPr>
            <w:tcW w:w="1174" w:type="dxa"/>
            <w:tcBorders>
              <w:top w:val="nil"/>
              <w:left w:val="nil"/>
              <w:bottom w:val="nil"/>
              <w:right w:val="nil"/>
            </w:tcBorders>
            <w:shd w:val="clear" w:color="auto" w:fill="auto"/>
            <w:noWrap/>
            <w:vAlign w:val="bottom"/>
            <w:hideMark/>
          </w:tcPr>
          <w:p w14:paraId="206D5155"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33,3%</w:t>
            </w:r>
          </w:p>
        </w:tc>
        <w:tc>
          <w:tcPr>
            <w:tcW w:w="1394" w:type="dxa"/>
            <w:tcBorders>
              <w:top w:val="nil"/>
              <w:left w:val="nil"/>
              <w:bottom w:val="nil"/>
              <w:right w:val="single" w:sz="4" w:space="0" w:color="auto"/>
            </w:tcBorders>
            <w:shd w:val="clear" w:color="auto" w:fill="auto"/>
            <w:noWrap/>
            <w:vAlign w:val="bottom"/>
            <w:hideMark/>
          </w:tcPr>
          <w:p w14:paraId="1CD5E094"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82,9%</w:t>
            </w:r>
          </w:p>
        </w:tc>
      </w:tr>
      <w:tr w:rsidR="002214C6" w:rsidRPr="002214C6" w14:paraId="7152DCC5"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51E4519F"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131.256</w:t>
            </w:r>
          </w:p>
        </w:tc>
        <w:tc>
          <w:tcPr>
            <w:tcW w:w="1216" w:type="dxa"/>
            <w:tcBorders>
              <w:top w:val="nil"/>
              <w:left w:val="nil"/>
              <w:bottom w:val="nil"/>
              <w:right w:val="nil"/>
            </w:tcBorders>
            <w:shd w:val="clear" w:color="auto" w:fill="auto"/>
            <w:noWrap/>
            <w:vAlign w:val="bottom"/>
            <w:hideMark/>
          </w:tcPr>
          <w:p w14:paraId="3F1C1F19"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134.574</w:t>
            </w:r>
          </w:p>
        </w:tc>
        <w:tc>
          <w:tcPr>
            <w:tcW w:w="1174" w:type="dxa"/>
            <w:tcBorders>
              <w:top w:val="nil"/>
              <w:left w:val="nil"/>
              <w:bottom w:val="nil"/>
              <w:right w:val="nil"/>
            </w:tcBorders>
            <w:shd w:val="clear" w:color="auto" w:fill="auto"/>
            <w:noWrap/>
            <w:vAlign w:val="bottom"/>
            <w:hideMark/>
          </w:tcPr>
          <w:p w14:paraId="34E1CFDC"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33,3%</w:t>
            </w:r>
          </w:p>
        </w:tc>
        <w:tc>
          <w:tcPr>
            <w:tcW w:w="1394" w:type="dxa"/>
            <w:tcBorders>
              <w:top w:val="nil"/>
              <w:left w:val="nil"/>
              <w:bottom w:val="nil"/>
              <w:right w:val="single" w:sz="4" w:space="0" w:color="auto"/>
            </w:tcBorders>
            <w:shd w:val="clear" w:color="auto" w:fill="auto"/>
            <w:noWrap/>
            <w:vAlign w:val="bottom"/>
            <w:hideMark/>
          </w:tcPr>
          <w:p w14:paraId="55EFF33A"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82,2%</w:t>
            </w:r>
          </w:p>
        </w:tc>
      </w:tr>
      <w:tr w:rsidR="002214C6" w:rsidRPr="002214C6" w14:paraId="73C59B58"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12EC7691"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134.575</w:t>
            </w:r>
          </w:p>
        </w:tc>
        <w:tc>
          <w:tcPr>
            <w:tcW w:w="1216" w:type="dxa"/>
            <w:tcBorders>
              <w:top w:val="nil"/>
              <w:left w:val="nil"/>
              <w:bottom w:val="nil"/>
              <w:right w:val="nil"/>
            </w:tcBorders>
            <w:shd w:val="clear" w:color="auto" w:fill="auto"/>
            <w:noWrap/>
            <w:vAlign w:val="bottom"/>
            <w:hideMark/>
          </w:tcPr>
          <w:p w14:paraId="148D5C0A"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137.889</w:t>
            </w:r>
          </w:p>
        </w:tc>
        <w:tc>
          <w:tcPr>
            <w:tcW w:w="1174" w:type="dxa"/>
            <w:tcBorders>
              <w:top w:val="nil"/>
              <w:left w:val="nil"/>
              <w:bottom w:val="nil"/>
              <w:right w:val="nil"/>
            </w:tcBorders>
            <w:shd w:val="clear" w:color="auto" w:fill="auto"/>
            <w:noWrap/>
            <w:vAlign w:val="bottom"/>
            <w:hideMark/>
          </w:tcPr>
          <w:p w14:paraId="0E10AA6D"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33,3%</w:t>
            </w:r>
          </w:p>
        </w:tc>
        <w:tc>
          <w:tcPr>
            <w:tcW w:w="1394" w:type="dxa"/>
            <w:tcBorders>
              <w:top w:val="nil"/>
              <w:left w:val="nil"/>
              <w:bottom w:val="nil"/>
              <w:right w:val="single" w:sz="4" w:space="0" w:color="auto"/>
            </w:tcBorders>
            <w:shd w:val="clear" w:color="auto" w:fill="auto"/>
            <w:noWrap/>
            <w:vAlign w:val="bottom"/>
            <w:hideMark/>
          </w:tcPr>
          <w:p w14:paraId="3066D351"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81,6%</w:t>
            </w:r>
          </w:p>
        </w:tc>
      </w:tr>
      <w:tr w:rsidR="002214C6" w:rsidRPr="002214C6" w14:paraId="6438982F"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7EE585C3"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137.890</w:t>
            </w:r>
          </w:p>
        </w:tc>
        <w:tc>
          <w:tcPr>
            <w:tcW w:w="1216" w:type="dxa"/>
            <w:tcBorders>
              <w:top w:val="nil"/>
              <w:left w:val="nil"/>
              <w:bottom w:val="nil"/>
              <w:right w:val="nil"/>
            </w:tcBorders>
            <w:shd w:val="clear" w:color="auto" w:fill="auto"/>
            <w:noWrap/>
            <w:vAlign w:val="bottom"/>
            <w:hideMark/>
          </w:tcPr>
          <w:p w14:paraId="4649815A"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141.206</w:t>
            </w:r>
          </w:p>
        </w:tc>
        <w:tc>
          <w:tcPr>
            <w:tcW w:w="1174" w:type="dxa"/>
            <w:tcBorders>
              <w:top w:val="nil"/>
              <w:left w:val="nil"/>
              <w:bottom w:val="nil"/>
              <w:right w:val="nil"/>
            </w:tcBorders>
            <w:shd w:val="clear" w:color="auto" w:fill="auto"/>
            <w:noWrap/>
            <w:vAlign w:val="bottom"/>
            <w:hideMark/>
          </w:tcPr>
          <w:p w14:paraId="0CF428C0"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33,3%</w:t>
            </w:r>
          </w:p>
        </w:tc>
        <w:tc>
          <w:tcPr>
            <w:tcW w:w="1394" w:type="dxa"/>
            <w:tcBorders>
              <w:top w:val="nil"/>
              <w:left w:val="nil"/>
              <w:bottom w:val="nil"/>
              <w:right w:val="single" w:sz="4" w:space="0" w:color="auto"/>
            </w:tcBorders>
            <w:shd w:val="clear" w:color="auto" w:fill="auto"/>
            <w:noWrap/>
            <w:vAlign w:val="bottom"/>
            <w:hideMark/>
          </w:tcPr>
          <w:p w14:paraId="0DCBF311"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80,6%</w:t>
            </w:r>
          </w:p>
        </w:tc>
      </w:tr>
      <w:tr w:rsidR="002214C6" w:rsidRPr="002214C6" w14:paraId="428E69B8"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6A332813"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141.207</w:t>
            </w:r>
          </w:p>
        </w:tc>
        <w:tc>
          <w:tcPr>
            <w:tcW w:w="1216" w:type="dxa"/>
            <w:tcBorders>
              <w:top w:val="nil"/>
              <w:left w:val="nil"/>
              <w:bottom w:val="nil"/>
              <w:right w:val="nil"/>
            </w:tcBorders>
            <w:shd w:val="clear" w:color="auto" w:fill="auto"/>
            <w:noWrap/>
            <w:vAlign w:val="bottom"/>
            <w:hideMark/>
          </w:tcPr>
          <w:p w14:paraId="47955B69"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144.522</w:t>
            </w:r>
          </w:p>
        </w:tc>
        <w:tc>
          <w:tcPr>
            <w:tcW w:w="1174" w:type="dxa"/>
            <w:tcBorders>
              <w:top w:val="nil"/>
              <w:left w:val="nil"/>
              <w:bottom w:val="nil"/>
              <w:right w:val="nil"/>
            </w:tcBorders>
            <w:shd w:val="clear" w:color="auto" w:fill="auto"/>
            <w:noWrap/>
            <w:vAlign w:val="bottom"/>
            <w:hideMark/>
          </w:tcPr>
          <w:p w14:paraId="47E0A44F"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33,3%</w:t>
            </w:r>
          </w:p>
        </w:tc>
        <w:tc>
          <w:tcPr>
            <w:tcW w:w="1394" w:type="dxa"/>
            <w:tcBorders>
              <w:top w:val="nil"/>
              <w:left w:val="nil"/>
              <w:bottom w:val="nil"/>
              <w:right w:val="single" w:sz="4" w:space="0" w:color="auto"/>
            </w:tcBorders>
            <w:shd w:val="clear" w:color="auto" w:fill="auto"/>
            <w:noWrap/>
            <w:vAlign w:val="bottom"/>
            <w:hideMark/>
          </w:tcPr>
          <w:p w14:paraId="100C4A63"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80,3%</w:t>
            </w:r>
          </w:p>
        </w:tc>
      </w:tr>
      <w:tr w:rsidR="002214C6" w:rsidRPr="002214C6" w14:paraId="254739B4"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6C7A82B2"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144.523</w:t>
            </w:r>
          </w:p>
        </w:tc>
        <w:tc>
          <w:tcPr>
            <w:tcW w:w="1216" w:type="dxa"/>
            <w:tcBorders>
              <w:top w:val="nil"/>
              <w:left w:val="nil"/>
              <w:bottom w:val="nil"/>
              <w:right w:val="nil"/>
            </w:tcBorders>
            <w:shd w:val="clear" w:color="auto" w:fill="auto"/>
            <w:noWrap/>
            <w:vAlign w:val="bottom"/>
            <w:hideMark/>
          </w:tcPr>
          <w:p w14:paraId="32F4D21D"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147.840</w:t>
            </w:r>
          </w:p>
        </w:tc>
        <w:tc>
          <w:tcPr>
            <w:tcW w:w="1174" w:type="dxa"/>
            <w:tcBorders>
              <w:top w:val="nil"/>
              <w:left w:val="nil"/>
              <w:bottom w:val="nil"/>
              <w:right w:val="nil"/>
            </w:tcBorders>
            <w:shd w:val="clear" w:color="auto" w:fill="auto"/>
            <w:noWrap/>
            <w:vAlign w:val="bottom"/>
            <w:hideMark/>
          </w:tcPr>
          <w:p w14:paraId="752D684A"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33,3%</w:t>
            </w:r>
          </w:p>
        </w:tc>
        <w:tc>
          <w:tcPr>
            <w:tcW w:w="1394" w:type="dxa"/>
            <w:tcBorders>
              <w:top w:val="nil"/>
              <w:left w:val="nil"/>
              <w:bottom w:val="nil"/>
              <w:right w:val="single" w:sz="4" w:space="0" w:color="auto"/>
            </w:tcBorders>
            <w:shd w:val="clear" w:color="auto" w:fill="auto"/>
            <w:noWrap/>
            <w:vAlign w:val="bottom"/>
            <w:hideMark/>
          </w:tcPr>
          <w:p w14:paraId="6A06E334"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79,5%</w:t>
            </w:r>
          </w:p>
        </w:tc>
      </w:tr>
      <w:tr w:rsidR="002214C6" w:rsidRPr="002214C6" w14:paraId="0C707FB5"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387D72E0"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147.841</w:t>
            </w:r>
          </w:p>
        </w:tc>
        <w:tc>
          <w:tcPr>
            <w:tcW w:w="1216" w:type="dxa"/>
            <w:tcBorders>
              <w:top w:val="nil"/>
              <w:left w:val="nil"/>
              <w:bottom w:val="nil"/>
              <w:right w:val="nil"/>
            </w:tcBorders>
            <w:shd w:val="clear" w:color="auto" w:fill="auto"/>
            <w:noWrap/>
            <w:vAlign w:val="bottom"/>
            <w:hideMark/>
          </w:tcPr>
          <w:p w14:paraId="3FACD5F7"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151.160</w:t>
            </w:r>
          </w:p>
        </w:tc>
        <w:tc>
          <w:tcPr>
            <w:tcW w:w="1174" w:type="dxa"/>
            <w:tcBorders>
              <w:top w:val="nil"/>
              <w:left w:val="nil"/>
              <w:bottom w:val="nil"/>
              <w:right w:val="nil"/>
            </w:tcBorders>
            <w:shd w:val="clear" w:color="auto" w:fill="auto"/>
            <w:noWrap/>
            <w:vAlign w:val="bottom"/>
            <w:hideMark/>
          </w:tcPr>
          <w:p w14:paraId="64992F5B"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33,3%</w:t>
            </w:r>
          </w:p>
        </w:tc>
        <w:tc>
          <w:tcPr>
            <w:tcW w:w="1394" w:type="dxa"/>
            <w:tcBorders>
              <w:top w:val="nil"/>
              <w:left w:val="nil"/>
              <w:bottom w:val="nil"/>
              <w:right w:val="single" w:sz="4" w:space="0" w:color="auto"/>
            </w:tcBorders>
            <w:shd w:val="clear" w:color="auto" w:fill="auto"/>
            <w:noWrap/>
            <w:vAlign w:val="bottom"/>
            <w:hideMark/>
          </w:tcPr>
          <w:p w14:paraId="63BAB2F6"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78,6%</w:t>
            </w:r>
          </w:p>
        </w:tc>
      </w:tr>
      <w:tr w:rsidR="002214C6" w:rsidRPr="002214C6" w14:paraId="0A661DDE"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52DFEB4A"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151.161</w:t>
            </w:r>
          </w:p>
        </w:tc>
        <w:tc>
          <w:tcPr>
            <w:tcW w:w="1216" w:type="dxa"/>
            <w:tcBorders>
              <w:top w:val="nil"/>
              <w:left w:val="nil"/>
              <w:bottom w:val="nil"/>
              <w:right w:val="nil"/>
            </w:tcBorders>
            <w:shd w:val="clear" w:color="auto" w:fill="auto"/>
            <w:noWrap/>
            <w:vAlign w:val="bottom"/>
            <w:hideMark/>
          </w:tcPr>
          <w:p w14:paraId="735259FC"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154.474</w:t>
            </w:r>
          </w:p>
        </w:tc>
        <w:tc>
          <w:tcPr>
            <w:tcW w:w="1174" w:type="dxa"/>
            <w:tcBorders>
              <w:top w:val="nil"/>
              <w:left w:val="nil"/>
              <w:bottom w:val="nil"/>
              <w:right w:val="nil"/>
            </w:tcBorders>
            <w:shd w:val="clear" w:color="auto" w:fill="auto"/>
            <w:noWrap/>
            <w:vAlign w:val="bottom"/>
            <w:hideMark/>
          </w:tcPr>
          <w:p w14:paraId="39530C29"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33,3%</w:t>
            </w:r>
          </w:p>
        </w:tc>
        <w:tc>
          <w:tcPr>
            <w:tcW w:w="1394" w:type="dxa"/>
            <w:tcBorders>
              <w:top w:val="nil"/>
              <w:left w:val="nil"/>
              <w:bottom w:val="nil"/>
              <w:right w:val="single" w:sz="4" w:space="0" w:color="auto"/>
            </w:tcBorders>
            <w:shd w:val="clear" w:color="auto" w:fill="auto"/>
            <w:noWrap/>
            <w:vAlign w:val="bottom"/>
            <w:hideMark/>
          </w:tcPr>
          <w:p w14:paraId="42066539"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78,0%</w:t>
            </w:r>
          </w:p>
        </w:tc>
      </w:tr>
      <w:tr w:rsidR="002214C6" w:rsidRPr="002214C6" w14:paraId="0B329A1A"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0A947F2E"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154.475</w:t>
            </w:r>
          </w:p>
        </w:tc>
        <w:tc>
          <w:tcPr>
            <w:tcW w:w="1216" w:type="dxa"/>
            <w:tcBorders>
              <w:top w:val="nil"/>
              <w:left w:val="nil"/>
              <w:bottom w:val="nil"/>
              <w:right w:val="nil"/>
            </w:tcBorders>
            <w:shd w:val="clear" w:color="auto" w:fill="auto"/>
            <w:noWrap/>
            <w:vAlign w:val="bottom"/>
            <w:hideMark/>
          </w:tcPr>
          <w:p w14:paraId="7DDFBDA8"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157.791</w:t>
            </w:r>
          </w:p>
        </w:tc>
        <w:tc>
          <w:tcPr>
            <w:tcW w:w="1174" w:type="dxa"/>
            <w:tcBorders>
              <w:top w:val="nil"/>
              <w:left w:val="nil"/>
              <w:bottom w:val="nil"/>
              <w:right w:val="nil"/>
            </w:tcBorders>
            <w:shd w:val="clear" w:color="auto" w:fill="auto"/>
            <w:noWrap/>
            <w:vAlign w:val="bottom"/>
            <w:hideMark/>
          </w:tcPr>
          <w:p w14:paraId="0B7BCDD8"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33,3%</w:t>
            </w:r>
          </w:p>
        </w:tc>
        <w:tc>
          <w:tcPr>
            <w:tcW w:w="1394" w:type="dxa"/>
            <w:tcBorders>
              <w:top w:val="nil"/>
              <w:left w:val="nil"/>
              <w:bottom w:val="nil"/>
              <w:right w:val="single" w:sz="4" w:space="0" w:color="auto"/>
            </w:tcBorders>
            <w:shd w:val="clear" w:color="auto" w:fill="auto"/>
            <w:noWrap/>
            <w:vAlign w:val="bottom"/>
            <w:hideMark/>
          </w:tcPr>
          <w:p w14:paraId="27949C08"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77,1%</w:t>
            </w:r>
          </w:p>
        </w:tc>
      </w:tr>
      <w:tr w:rsidR="002214C6" w:rsidRPr="002214C6" w14:paraId="60713CF7"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2F4E9DF4"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157.792</w:t>
            </w:r>
          </w:p>
        </w:tc>
        <w:tc>
          <w:tcPr>
            <w:tcW w:w="1216" w:type="dxa"/>
            <w:tcBorders>
              <w:top w:val="nil"/>
              <w:left w:val="nil"/>
              <w:bottom w:val="nil"/>
              <w:right w:val="nil"/>
            </w:tcBorders>
            <w:shd w:val="clear" w:color="auto" w:fill="auto"/>
            <w:noWrap/>
            <w:vAlign w:val="bottom"/>
            <w:hideMark/>
          </w:tcPr>
          <w:p w14:paraId="760E708E"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161.106</w:t>
            </w:r>
          </w:p>
        </w:tc>
        <w:tc>
          <w:tcPr>
            <w:tcW w:w="1174" w:type="dxa"/>
            <w:tcBorders>
              <w:top w:val="nil"/>
              <w:left w:val="nil"/>
              <w:bottom w:val="nil"/>
              <w:right w:val="nil"/>
            </w:tcBorders>
            <w:shd w:val="clear" w:color="auto" w:fill="auto"/>
            <w:noWrap/>
            <w:vAlign w:val="bottom"/>
            <w:hideMark/>
          </w:tcPr>
          <w:p w14:paraId="2300EC67"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33,3%</w:t>
            </w:r>
          </w:p>
        </w:tc>
        <w:tc>
          <w:tcPr>
            <w:tcW w:w="1394" w:type="dxa"/>
            <w:tcBorders>
              <w:top w:val="nil"/>
              <w:left w:val="nil"/>
              <w:bottom w:val="nil"/>
              <w:right w:val="single" w:sz="4" w:space="0" w:color="auto"/>
            </w:tcBorders>
            <w:shd w:val="clear" w:color="auto" w:fill="auto"/>
            <w:noWrap/>
            <w:vAlign w:val="bottom"/>
            <w:hideMark/>
          </w:tcPr>
          <w:p w14:paraId="7579E5C9"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76,6%</w:t>
            </w:r>
          </w:p>
        </w:tc>
      </w:tr>
      <w:tr w:rsidR="002214C6" w:rsidRPr="002214C6" w14:paraId="18134D36"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733CADC3"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161.107</w:t>
            </w:r>
          </w:p>
        </w:tc>
        <w:tc>
          <w:tcPr>
            <w:tcW w:w="1216" w:type="dxa"/>
            <w:tcBorders>
              <w:top w:val="nil"/>
              <w:left w:val="nil"/>
              <w:bottom w:val="nil"/>
              <w:right w:val="nil"/>
            </w:tcBorders>
            <w:shd w:val="clear" w:color="auto" w:fill="auto"/>
            <w:noWrap/>
            <w:vAlign w:val="bottom"/>
            <w:hideMark/>
          </w:tcPr>
          <w:p w14:paraId="79E31077"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164.425</w:t>
            </w:r>
          </w:p>
        </w:tc>
        <w:tc>
          <w:tcPr>
            <w:tcW w:w="1174" w:type="dxa"/>
            <w:tcBorders>
              <w:top w:val="nil"/>
              <w:left w:val="nil"/>
              <w:bottom w:val="nil"/>
              <w:right w:val="nil"/>
            </w:tcBorders>
            <w:shd w:val="clear" w:color="auto" w:fill="auto"/>
            <w:noWrap/>
            <w:vAlign w:val="bottom"/>
            <w:hideMark/>
          </w:tcPr>
          <w:p w14:paraId="16FBA489"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33,3%</w:t>
            </w:r>
          </w:p>
        </w:tc>
        <w:tc>
          <w:tcPr>
            <w:tcW w:w="1394" w:type="dxa"/>
            <w:tcBorders>
              <w:top w:val="nil"/>
              <w:left w:val="nil"/>
              <w:bottom w:val="nil"/>
              <w:right w:val="single" w:sz="4" w:space="0" w:color="auto"/>
            </w:tcBorders>
            <w:shd w:val="clear" w:color="auto" w:fill="auto"/>
            <w:noWrap/>
            <w:vAlign w:val="bottom"/>
            <w:hideMark/>
          </w:tcPr>
          <w:p w14:paraId="4EE3E69F"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75,8%</w:t>
            </w:r>
          </w:p>
        </w:tc>
      </w:tr>
      <w:tr w:rsidR="002214C6" w:rsidRPr="002214C6" w14:paraId="597AA596"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3785D63A"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164.426</w:t>
            </w:r>
          </w:p>
        </w:tc>
        <w:tc>
          <w:tcPr>
            <w:tcW w:w="1216" w:type="dxa"/>
            <w:tcBorders>
              <w:top w:val="nil"/>
              <w:left w:val="nil"/>
              <w:bottom w:val="nil"/>
              <w:right w:val="nil"/>
            </w:tcBorders>
            <w:shd w:val="clear" w:color="auto" w:fill="auto"/>
            <w:noWrap/>
            <w:vAlign w:val="bottom"/>
            <w:hideMark/>
          </w:tcPr>
          <w:p w14:paraId="24783F19"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167.743</w:t>
            </w:r>
          </w:p>
        </w:tc>
        <w:tc>
          <w:tcPr>
            <w:tcW w:w="1174" w:type="dxa"/>
            <w:tcBorders>
              <w:top w:val="nil"/>
              <w:left w:val="nil"/>
              <w:bottom w:val="nil"/>
              <w:right w:val="nil"/>
            </w:tcBorders>
            <w:shd w:val="clear" w:color="auto" w:fill="auto"/>
            <w:noWrap/>
            <w:vAlign w:val="bottom"/>
            <w:hideMark/>
          </w:tcPr>
          <w:p w14:paraId="34195542"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33,3%</w:t>
            </w:r>
          </w:p>
        </w:tc>
        <w:tc>
          <w:tcPr>
            <w:tcW w:w="1394" w:type="dxa"/>
            <w:tcBorders>
              <w:top w:val="nil"/>
              <w:left w:val="nil"/>
              <w:bottom w:val="nil"/>
              <w:right w:val="single" w:sz="4" w:space="0" w:color="auto"/>
            </w:tcBorders>
            <w:shd w:val="clear" w:color="auto" w:fill="auto"/>
            <w:noWrap/>
            <w:vAlign w:val="bottom"/>
            <w:hideMark/>
          </w:tcPr>
          <w:p w14:paraId="4AE8A123"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75,1%</w:t>
            </w:r>
          </w:p>
        </w:tc>
      </w:tr>
      <w:tr w:rsidR="002214C6" w:rsidRPr="002214C6" w14:paraId="73AC9F71"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512F5E95"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167.744</w:t>
            </w:r>
          </w:p>
        </w:tc>
        <w:tc>
          <w:tcPr>
            <w:tcW w:w="1216" w:type="dxa"/>
            <w:tcBorders>
              <w:top w:val="nil"/>
              <w:left w:val="nil"/>
              <w:bottom w:val="nil"/>
              <w:right w:val="nil"/>
            </w:tcBorders>
            <w:shd w:val="clear" w:color="auto" w:fill="auto"/>
            <w:noWrap/>
            <w:vAlign w:val="bottom"/>
            <w:hideMark/>
          </w:tcPr>
          <w:p w14:paraId="214C53F8"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171.059</w:t>
            </w:r>
          </w:p>
        </w:tc>
        <w:tc>
          <w:tcPr>
            <w:tcW w:w="1174" w:type="dxa"/>
            <w:tcBorders>
              <w:top w:val="nil"/>
              <w:left w:val="nil"/>
              <w:bottom w:val="nil"/>
              <w:right w:val="nil"/>
            </w:tcBorders>
            <w:shd w:val="clear" w:color="auto" w:fill="auto"/>
            <w:noWrap/>
            <w:vAlign w:val="bottom"/>
            <w:hideMark/>
          </w:tcPr>
          <w:p w14:paraId="083E22C5"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33,3%</w:t>
            </w:r>
          </w:p>
        </w:tc>
        <w:tc>
          <w:tcPr>
            <w:tcW w:w="1394" w:type="dxa"/>
            <w:tcBorders>
              <w:top w:val="nil"/>
              <w:left w:val="nil"/>
              <w:bottom w:val="nil"/>
              <w:right w:val="single" w:sz="4" w:space="0" w:color="auto"/>
            </w:tcBorders>
            <w:shd w:val="clear" w:color="auto" w:fill="auto"/>
            <w:noWrap/>
            <w:vAlign w:val="bottom"/>
            <w:hideMark/>
          </w:tcPr>
          <w:p w14:paraId="52C89297"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74,4%</w:t>
            </w:r>
          </w:p>
        </w:tc>
      </w:tr>
      <w:tr w:rsidR="002214C6" w:rsidRPr="002214C6" w14:paraId="0269239A"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406DA42B"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171.060</w:t>
            </w:r>
          </w:p>
        </w:tc>
        <w:tc>
          <w:tcPr>
            <w:tcW w:w="1216" w:type="dxa"/>
            <w:tcBorders>
              <w:top w:val="nil"/>
              <w:left w:val="nil"/>
              <w:bottom w:val="nil"/>
              <w:right w:val="nil"/>
            </w:tcBorders>
            <w:shd w:val="clear" w:color="auto" w:fill="auto"/>
            <w:noWrap/>
            <w:vAlign w:val="bottom"/>
            <w:hideMark/>
          </w:tcPr>
          <w:p w14:paraId="493FD1AC"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174.376</w:t>
            </w:r>
          </w:p>
        </w:tc>
        <w:tc>
          <w:tcPr>
            <w:tcW w:w="1174" w:type="dxa"/>
            <w:tcBorders>
              <w:top w:val="nil"/>
              <w:left w:val="nil"/>
              <w:bottom w:val="nil"/>
              <w:right w:val="nil"/>
            </w:tcBorders>
            <w:shd w:val="clear" w:color="auto" w:fill="auto"/>
            <w:noWrap/>
            <w:vAlign w:val="bottom"/>
            <w:hideMark/>
          </w:tcPr>
          <w:p w14:paraId="305B9B56"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33,3%</w:t>
            </w:r>
          </w:p>
        </w:tc>
        <w:tc>
          <w:tcPr>
            <w:tcW w:w="1394" w:type="dxa"/>
            <w:tcBorders>
              <w:top w:val="nil"/>
              <w:left w:val="nil"/>
              <w:bottom w:val="nil"/>
              <w:right w:val="single" w:sz="4" w:space="0" w:color="auto"/>
            </w:tcBorders>
            <w:shd w:val="clear" w:color="auto" w:fill="auto"/>
            <w:noWrap/>
            <w:vAlign w:val="bottom"/>
            <w:hideMark/>
          </w:tcPr>
          <w:p w14:paraId="456302A4"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73,4%</w:t>
            </w:r>
          </w:p>
        </w:tc>
      </w:tr>
      <w:tr w:rsidR="002214C6" w:rsidRPr="002214C6" w14:paraId="1973AF45"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16876C24"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174.377</w:t>
            </w:r>
          </w:p>
        </w:tc>
        <w:tc>
          <w:tcPr>
            <w:tcW w:w="1216" w:type="dxa"/>
            <w:tcBorders>
              <w:top w:val="nil"/>
              <w:left w:val="nil"/>
              <w:bottom w:val="nil"/>
              <w:right w:val="nil"/>
            </w:tcBorders>
            <w:shd w:val="clear" w:color="auto" w:fill="auto"/>
            <w:noWrap/>
            <w:vAlign w:val="bottom"/>
            <w:hideMark/>
          </w:tcPr>
          <w:p w14:paraId="644C6676"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177.689</w:t>
            </w:r>
          </w:p>
        </w:tc>
        <w:tc>
          <w:tcPr>
            <w:tcW w:w="1174" w:type="dxa"/>
            <w:tcBorders>
              <w:top w:val="nil"/>
              <w:left w:val="nil"/>
              <w:bottom w:val="nil"/>
              <w:right w:val="nil"/>
            </w:tcBorders>
            <w:shd w:val="clear" w:color="auto" w:fill="auto"/>
            <w:noWrap/>
            <w:vAlign w:val="bottom"/>
            <w:hideMark/>
          </w:tcPr>
          <w:p w14:paraId="6203B55A"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33,3%</w:t>
            </w:r>
          </w:p>
        </w:tc>
        <w:tc>
          <w:tcPr>
            <w:tcW w:w="1394" w:type="dxa"/>
            <w:tcBorders>
              <w:top w:val="nil"/>
              <w:left w:val="nil"/>
              <w:bottom w:val="nil"/>
              <w:right w:val="single" w:sz="4" w:space="0" w:color="auto"/>
            </w:tcBorders>
            <w:shd w:val="clear" w:color="auto" w:fill="auto"/>
            <w:noWrap/>
            <w:vAlign w:val="bottom"/>
            <w:hideMark/>
          </w:tcPr>
          <w:p w14:paraId="43511A88"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72,9%</w:t>
            </w:r>
          </w:p>
        </w:tc>
      </w:tr>
      <w:tr w:rsidR="002214C6" w:rsidRPr="002214C6" w14:paraId="4348AACE"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0617B812"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177.690</w:t>
            </w:r>
          </w:p>
        </w:tc>
        <w:tc>
          <w:tcPr>
            <w:tcW w:w="1216" w:type="dxa"/>
            <w:tcBorders>
              <w:top w:val="nil"/>
              <w:left w:val="nil"/>
              <w:bottom w:val="nil"/>
              <w:right w:val="nil"/>
            </w:tcBorders>
            <w:shd w:val="clear" w:color="auto" w:fill="auto"/>
            <w:noWrap/>
            <w:vAlign w:val="bottom"/>
            <w:hideMark/>
          </w:tcPr>
          <w:p w14:paraId="56FD4163"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181.009</w:t>
            </w:r>
          </w:p>
        </w:tc>
        <w:tc>
          <w:tcPr>
            <w:tcW w:w="1174" w:type="dxa"/>
            <w:tcBorders>
              <w:top w:val="nil"/>
              <w:left w:val="nil"/>
              <w:bottom w:val="nil"/>
              <w:right w:val="nil"/>
            </w:tcBorders>
            <w:shd w:val="clear" w:color="auto" w:fill="auto"/>
            <w:noWrap/>
            <w:vAlign w:val="bottom"/>
            <w:hideMark/>
          </w:tcPr>
          <w:p w14:paraId="4CC24B4E"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33,3%</w:t>
            </w:r>
          </w:p>
        </w:tc>
        <w:tc>
          <w:tcPr>
            <w:tcW w:w="1394" w:type="dxa"/>
            <w:tcBorders>
              <w:top w:val="nil"/>
              <w:left w:val="nil"/>
              <w:bottom w:val="nil"/>
              <w:right w:val="single" w:sz="4" w:space="0" w:color="auto"/>
            </w:tcBorders>
            <w:shd w:val="clear" w:color="auto" w:fill="auto"/>
            <w:noWrap/>
            <w:vAlign w:val="bottom"/>
            <w:hideMark/>
          </w:tcPr>
          <w:p w14:paraId="54CFCF18"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72,2%</w:t>
            </w:r>
          </w:p>
        </w:tc>
      </w:tr>
      <w:tr w:rsidR="002214C6" w:rsidRPr="002214C6" w14:paraId="235A89EB"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55CD6791"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181.010</w:t>
            </w:r>
          </w:p>
        </w:tc>
        <w:tc>
          <w:tcPr>
            <w:tcW w:w="1216" w:type="dxa"/>
            <w:tcBorders>
              <w:top w:val="nil"/>
              <w:left w:val="nil"/>
              <w:bottom w:val="nil"/>
              <w:right w:val="nil"/>
            </w:tcBorders>
            <w:shd w:val="clear" w:color="auto" w:fill="auto"/>
            <w:noWrap/>
            <w:vAlign w:val="bottom"/>
            <w:hideMark/>
          </w:tcPr>
          <w:p w14:paraId="440B117F"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184.324</w:t>
            </w:r>
          </w:p>
        </w:tc>
        <w:tc>
          <w:tcPr>
            <w:tcW w:w="1174" w:type="dxa"/>
            <w:tcBorders>
              <w:top w:val="nil"/>
              <w:left w:val="nil"/>
              <w:bottom w:val="nil"/>
              <w:right w:val="nil"/>
            </w:tcBorders>
            <w:shd w:val="clear" w:color="auto" w:fill="auto"/>
            <w:noWrap/>
            <w:vAlign w:val="bottom"/>
            <w:hideMark/>
          </w:tcPr>
          <w:p w14:paraId="77AB1D95"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33,3%</w:t>
            </w:r>
          </w:p>
        </w:tc>
        <w:tc>
          <w:tcPr>
            <w:tcW w:w="1394" w:type="dxa"/>
            <w:tcBorders>
              <w:top w:val="nil"/>
              <w:left w:val="nil"/>
              <w:bottom w:val="nil"/>
              <w:right w:val="single" w:sz="4" w:space="0" w:color="auto"/>
            </w:tcBorders>
            <w:shd w:val="clear" w:color="auto" w:fill="auto"/>
            <w:noWrap/>
            <w:vAlign w:val="bottom"/>
            <w:hideMark/>
          </w:tcPr>
          <w:p w14:paraId="7A9AE545"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71,4%</w:t>
            </w:r>
          </w:p>
        </w:tc>
      </w:tr>
      <w:tr w:rsidR="002214C6" w:rsidRPr="002214C6" w14:paraId="77924010"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6369CDF7"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184.325</w:t>
            </w:r>
          </w:p>
        </w:tc>
        <w:tc>
          <w:tcPr>
            <w:tcW w:w="1216" w:type="dxa"/>
            <w:tcBorders>
              <w:top w:val="nil"/>
              <w:left w:val="nil"/>
              <w:bottom w:val="nil"/>
              <w:right w:val="nil"/>
            </w:tcBorders>
            <w:shd w:val="clear" w:color="auto" w:fill="auto"/>
            <w:noWrap/>
            <w:vAlign w:val="bottom"/>
            <w:hideMark/>
          </w:tcPr>
          <w:p w14:paraId="6D0F7583"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187.642</w:t>
            </w:r>
          </w:p>
        </w:tc>
        <w:tc>
          <w:tcPr>
            <w:tcW w:w="1174" w:type="dxa"/>
            <w:tcBorders>
              <w:top w:val="nil"/>
              <w:left w:val="nil"/>
              <w:bottom w:val="nil"/>
              <w:right w:val="nil"/>
            </w:tcBorders>
            <w:shd w:val="clear" w:color="auto" w:fill="auto"/>
            <w:noWrap/>
            <w:vAlign w:val="bottom"/>
            <w:hideMark/>
          </w:tcPr>
          <w:p w14:paraId="051C1B4E"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33,3%</w:t>
            </w:r>
          </w:p>
        </w:tc>
        <w:tc>
          <w:tcPr>
            <w:tcW w:w="1394" w:type="dxa"/>
            <w:tcBorders>
              <w:top w:val="nil"/>
              <w:left w:val="nil"/>
              <w:bottom w:val="nil"/>
              <w:right w:val="single" w:sz="4" w:space="0" w:color="auto"/>
            </w:tcBorders>
            <w:shd w:val="clear" w:color="auto" w:fill="auto"/>
            <w:noWrap/>
            <w:vAlign w:val="bottom"/>
            <w:hideMark/>
          </w:tcPr>
          <w:p w14:paraId="2250246D"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70,7%</w:t>
            </w:r>
          </w:p>
        </w:tc>
      </w:tr>
      <w:tr w:rsidR="002214C6" w:rsidRPr="002214C6" w14:paraId="08BD311C"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40B0972E"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187.643</w:t>
            </w:r>
          </w:p>
        </w:tc>
        <w:tc>
          <w:tcPr>
            <w:tcW w:w="1216" w:type="dxa"/>
            <w:tcBorders>
              <w:top w:val="nil"/>
              <w:left w:val="nil"/>
              <w:bottom w:val="nil"/>
              <w:right w:val="nil"/>
            </w:tcBorders>
            <w:shd w:val="clear" w:color="auto" w:fill="auto"/>
            <w:noWrap/>
            <w:vAlign w:val="bottom"/>
            <w:hideMark/>
          </w:tcPr>
          <w:p w14:paraId="51A492CE"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190.960</w:t>
            </w:r>
          </w:p>
        </w:tc>
        <w:tc>
          <w:tcPr>
            <w:tcW w:w="1174" w:type="dxa"/>
            <w:tcBorders>
              <w:top w:val="nil"/>
              <w:left w:val="nil"/>
              <w:bottom w:val="nil"/>
              <w:right w:val="nil"/>
            </w:tcBorders>
            <w:shd w:val="clear" w:color="auto" w:fill="auto"/>
            <w:noWrap/>
            <w:vAlign w:val="bottom"/>
            <w:hideMark/>
          </w:tcPr>
          <w:p w14:paraId="31A0D389"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33,3%</w:t>
            </w:r>
          </w:p>
        </w:tc>
        <w:tc>
          <w:tcPr>
            <w:tcW w:w="1394" w:type="dxa"/>
            <w:tcBorders>
              <w:top w:val="nil"/>
              <w:left w:val="nil"/>
              <w:bottom w:val="nil"/>
              <w:right w:val="single" w:sz="4" w:space="0" w:color="auto"/>
            </w:tcBorders>
            <w:shd w:val="clear" w:color="auto" w:fill="auto"/>
            <w:noWrap/>
            <w:vAlign w:val="bottom"/>
            <w:hideMark/>
          </w:tcPr>
          <w:p w14:paraId="01DFFB6D"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70,1%</w:t>
            </w:r>
          </w:p>
        </w:tc>
      </w:tr>
      <w:tr w:rsidR="002214C6" w:rsidRPr="002214C6" w14:paraId="073AC0D0"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5D11AE9A"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190.961</w:t>
            </w:r>
          </w:p>
        </w:tc>
        <w:tc>
          <w:tcPr>
            <w:tcW w:w="1216" w:type="dxa"/>
            <w:tcBorders>
              <w:top w:val="nil"/>
              <w:left w:val="nil"/>
              <w:bottom w:val="nil"/>
              <w:right w:val="nil"/>
            </w:tcBorders>
            <w:shd w:val="clear" w:color="auto" w:fill="auto"/>
            <w:noWrap/>
            <w:vAlign w:val="bottom"/>
            <w:hideMark/>
          </w:tcPr>
          <w:p w14:paraId="0A6439F5"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194.275</w:t>
            </w:r>
          </w:p>
        </w:tc>
        <w:tc>
          <w:tcPr>
            <w:tcW w:w="1174" w:type="dxa"/>
            <w:tcBorders>
              <w:top w:val="nil"/>
              <w:left w:val="nil"/>
              <w:bottom w:val="nil"/>
              <w:right w:val="nil"/>
            </w:tcBorders>
            <w:shd w:val="clear" w:color="auto" w:fill="auto"/>
            <w:noWrap/>
            <w:vAlign w:val="bottom"/>
            <w:hideMark/>
          </w:tcPr>
          <w:p w14:paraId="42102566"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33,3%</w:t>
            </w:r>
          </w:p>
        </w:tc>
        <w:tc>
          <w:tcPr>
            <w:tcW w:w="1394" w:type="dxa"/>
            <w:tcBorders>
              <w:top w:val="nil"/>
              <w:left w:val="nil"/>
              <w:bottom w:val="nil"/>
              <w:right w:val="single" w:sz="4" w:space="0" w:color="auto"/>
            </w:tcBorders>
            <w:shd w:val="clear" w:color="auto" w:fill="auto"/>
            <w:noWrap/>
            <w:vAlign w:val="bottom"/>
            <w:hideMark/>
          </w:tcPr>
          <w:p w14:paraId="00779925"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69,3%</w:t>
            </w:r>
          </w:p>
        </w:tc>
      </w:tr>
      <w:tr w:rsidR="002214C6" w:rsidRPr="002214C6" w14:paraId="4AB5607E"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7403B105"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194.276</w:t>
            </w:r>
          </w:p>
        </w:tc>
        <w:tc>
          <w:tcPr>
            <w:tcW w:w="1216" w:type="dxa"/>
            <w:tcBorders>
              <w:top w:val="nil"/>
              <w:left w:val="nil"/>
              <w:bottom w:val="nil"/>
              <w:right w:val="nil"/>
            </w:tcBorders>
            <w:shd w:val="clear" w:color="auto" w:fill="auto"/>
            <w:noWrap/>
            <w:vAlign w:val="bottom"/>
            <w:hideMark/>
          </w:tcPr>
          <w:p w14:paraId="4CAB00C4"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197.593</w:t>
            </w:r>
          </w:p>
        </w:tc>
        <w:tc>
          <w:tcPr>
            <w:tcW w:w="1174" w:type="dxa"/>
            <w:tcBorders>
              <w:top w:val="nil"/>
              <w:left w:val="nil"/>
              <w:bottom w:val="nil"/>
              <w:right w:val="nil"/>
            </w:tcBorders>
            <w:shd w:val="clear" w:color="auto" w:fill="auto"/>
            <w:noWrap/>
            <w:vAlign w:val="bottom"/>
            <w:hideMark/>
          </w:tcPr>
          <w:p w14:paraId="57494FAB"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33,3%</w:t>
            </w:r>
          </w:p>
        </w:tc>
        <w:tc>
          <w:tcPr>
            <w:tcW w:w="1394" w:type="dxa"/>
            <w:tcBorders>
              <w:top w:val="nil"/>
              <w:left w:val="nil"/>
              <w:bottom w:val="nil"/>
              <w:right w:val="single" w:sz="4" w:space="0" w:color="auto"/>
            </w:tcBorders>
            <w:shd w:val="clear" w:color="auto" w:fill="auto"/>
            <w:noWrap/>
            <w:vAlign w:val="bottom"/>
            <w:hideMark/>
          </w:tcPr>
          <w:p w14:paraId="3282459D"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68,5%</w:t>
            </w:r>
          </w:p>
        </w:tc>
      </w:tr>
      <w:tr w:rsidR="002214C6" w:rsidRPr="002214C6" w14:paraId="708A3F28" w14:textId="77777777" w:rsidTr="002214C6">
        <w:trPr>
          <w:trHeight w:val="270"/>
        </w:trPr>
        <w:tc>
          <w:tcPr>
            <w:tcW w:w="1208" w:type="dxa"/>
            <w:tcBorders>
              <w:top w:val="nil"/>
              <w:left w:val="single" w:sz="4" w:space="0" w:color="auto"/>
              <w:bottom w:val="nil"/>
              <w:right w:val="nil"/>
            </w:tcBorders>
            <w:shd w:val="clear" w:color="auto" w:fill="auto"/>
            <w:noWrap/>
            <w:vAlign w:val="bottom"/>
            <w:hideMark/>
          </w:tcPr>
          <w:p w14:paraId="2B438E0D"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197.594</w:t>
            </w:r>
          </w:p>
        </w:tc>
        <w:tc>
          <w:tcPr>
            <w:tcW w:w="1216" w:type="dxa"/>
            <w:tcBorders>
              <w:top w:val="nil"/>
              <w:left w:val="nil"/>
              <w:bottom w:val="nil"/>
              <w:right w:val="nil"/>
            </w:tcBorders>
            <w:shd w:val="clear" w:color="auto" w:fill="auto"/>
            <w:noWrap/>
            <w:vAlign w:val="bottom"/>
            <w:hideMark/>
          </w:tcPr>
          <w:p w14:paraId="59AD5F1D"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200.908</w:t>
            </w:r>
          </w:p>
        </w:tc>
        <w:tc>
          <w:tcPr>
            <w:tcW w:w="1174" w:type="dxa"/>
            <w:tcBorders>
              <w:top w:val="nil"/>
              <w:left w:val="nil"/>
              <w:bottom w:val="nil"/>
              <w:right w:val="nil"/>
            </w:tcBorders>
            <w:shd w:val="clear" w:color="auto" w:fill="auto"/>
            <w:noWrap/>
            <w:vAlign w:val="bottom"/>
            <w:hideMark/>
          </w:tcPr>
          <w:p w14:paraId="6B26C5EE"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33,3%</w:t>
            </w:r>
          </w:p>
        </w:tc>
        <w:tc>
          <w:tcPr>
            <w:tcW w:w="1394" w:type="dxa"/>
            <w:tcBorders>
              <w:top w:val="nil"/>
              <w:left w:val="nil"/>
              <w:bottom w:val="nil"/>
              <w:right w:val="single" w:sz="4" w:space="0" w:color="auto"/>
            </w:tcBorders>
            <w:shd w:val="clear" w:color="auto" w:fill="auto"/>
            <w:noWrap/>
            <w:vAlign w:val="bottom"/>
            <w:hideMark/>
          </w:tcPr>
          <w:p w14:paraId="498438F7"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68,0%</w:t>
            </w:r>
          </w:p>
        </w:tc>
      </w:tr>
      <w:tr w:rsidR="002214C6" w:rsidRPr="002214C6" w14:paraId="450F51E5" w14:textId="77777777" w:rsidTr="002214C6">
        <w:trPr>
          <w:trHeight w:val="270"/>
        </w:trPr>
        <w:tc>
          <w:tcPr>
            <w:tcW w:w="1208" w:type="dxa"/>
            <w:tcBorders>
              <w:top w:val="nil"/>
              <w:left w:val="single" w:sz="4" w:space="0" w:color="auto"/>
              <w:bottom w:val="single" w:sz="4" w:space="0" w:color="auto"/>
              <w:right w:val="nil"/>
            </w:tcBorders>
            <w:shd w:val="clear" w:color="auto" w:fill="auto"/>
            <w:noWrap/>
            <w:vAlign w:val="bottom"/>
            <w:hideMark/>
          </w:tcPr>
          <w:p w14:paraId="02A5E329"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200.909</w:t>
            </w:r>
          </w:p>
        </w:tc>
        <w:tc>
          <w:tcPr>
            <w:tcW w:w="1216" w:type="dxa"/>
            <w:tcBorders>
              <w:top w:val="nil"/>
              <w:left w:val="nil"/>
              <w:bottom w:val="single" w:sz="4" w:space="0" w:color="auto"/>
              <w:right w:val="nil"/>
            </w:tcBorders>
            <w:shd w:val="clear" w:color="auto" w:fill="auto"/>
            <w:noWrap/>
            <w:vAlign w:val="bottom"/>
            <w:hideMark/>
          </w:tcPr>
          <w:p w14:paraId="310858AA"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en hoger</w:t>
            </w:r>
          </w:p>
        </w:tc>
        <w:tc>
          <w:tcPr>
            <w:tcW w:w="1174" w:type="dxa"/>
            <w:tcBorders>
              <w:top w:val="nil"/>
              <w:left w:val="nil"/>
              <w:bottom w:val="single" w:sz="4" w:space="0" w:color="auto"/>
              <w:right w:val="nil"/>
            </w:tcBorders>
            <w:shd w:val="clear" w:color="auto" w:fill="auto"/>
            <w:noWrap/>
            <w:vAlign w:val="bottom"/>
            <w:hideMark/>
          </w:tcPr>
          <w:p w14:paraId="283E3127"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33,3%</w:t>
            </w:r>
          </w:p>
        </w:tc>
        <w:tc>
          <w:tcPr>
            <w:tcW w:w="1394" w:type="dxa"/>
            <w:tcBorders>
              <w:top w:val="nil"/>
              <w:left w:val="nil"/>
              <w:bottom w:val="single" w:sz="4" w:space="0" w:color="auto"/>
              <w:right w:val="single" w:sz="4" w:space="0" w:color="auto"/>
            </w:tcBorders>
            <w:shd w:val="clear" w:color="auto" w:fill="auto"/>
            <w:noWrap/>
            <w:vAlign w:val="bottom"/>
            <w:hideMark/>
          </w:tcPr>
          <w:p w14:paraId="74F062E8" w14:textId="77777777" w:rsidR="002214C6" w:rsidRPr="002214C6" w:rsidRDefault="002214C6" w:rsidP="002214C6">
            <w:pPr>
              <w:autoSpaceDN/>
              <w:spacing w:line="240" w:lineRule="auto"/>
              <w:jc w:val="right"/>
              <w:textAlignment w:val="auto"/>
              <w:rPr>
                <w:rFonts w:eastAsia="Times New Roman" w:cs="Calibri"/>
              </w:rPr>
            </w:pPr>
            <w:r w:rsidRPr="002214C6">
              <w:rPr>
                <w:rFonts w:eastAsia="Times New Roman" w:cs="Calibri"/>
              </w:rPr>
              <w:t>67,1%</w:t>
            </w:r>
          </w:p>
        </w:tc>
      </w:tr>
    </w:tbl>
    <w:p w14:paraId="3EAC6625" w14:textId="77777777" w:rsidR="005371BD" w:rsidRDefault="005371BD" w:rsidP="00590ACF">
      <w:pPr>
        <w:rPr>
          <w:b/>
        </w:rPr>
      </w:pPr>
    </w:p>
    <w:p w14:paraId="5AD23F1D" w14:textId="77777777" w:rsidR="00E12D87" w:rsidRDefault="00E12D87" w:rsidP="00590ACF">
      <w:pPr>
        <w:rPr>
          <w:b/>
        </w:rPr>
      </w:pPr>
    </w:p>
    <w:p w14:paraId="0B255E75" w14:textId="77777777" w:rsidR="00E12D87" w:rsidRDefault="00E12D87" w:rsidP="00590ACF">
      <w:pPr>
        <w:rPr>
          <w:b/>
        </w:rPr>
      </w:pPr>
    </w:p>
    <w:p w14:paraId="6BFA1CDA" w14:textId="77777777" w:rsidR="00E12D87" w:rsidRDefault="00E12D87" w:rsidP="00590ACF">
      <w:pPr>
        <w:rPr>
          <w:b/>
        </w:rPr>
      </w:pPr>
    </w:p>
    <w:p w14:paraId="1169951A" w14:textId="77777777" w:rsidR="00E12D87" w:rsidRDefault="00E12D87" w:rsidP="00590ACF">
      <w:pPr>
        <w:rPr>
          <w:b/>
        </w:rPr>
      </w:pPr>
    </w:p>
    <w:p w14:paraId="77C5A284" w14:textId="7531C543" w:rsidR="00590ACF" w:rsidRDefault="00590ACF" w:rsidP="00590ACF">
      <w:pPr>
        <w:rPr>
          <w:color w:val="auto"/>
          <w:szCs w:val="20"/>
        </w:rPr>
      </w:pPr>
      <w:r>
        <w:rPr>
          <w:b/>
        </w:rPr>
        <w:t>NOTA VAN TOELICHTING</w:t>
      </w:r>
      <w:r>
        <w:t xml:space="preserve"> </w:t>
      </w:r>
      <w:r>
        <w:br/>
      </w:r>
      <w:r>
        <w:rPr>
          <w:b/>
        </w:rPr>
        <w:br/>
        <w:t>I ALGEMEEN DEEL</w:t>
      </w:r>
      <w:r>
        <w:t xml:space="preserve"> </w:t>
      </w:r>
    </w:p>
    <w:p w14:paraId="73F8AA78" w14:textId="77777777" w:rsidR="00590ACF" w:rsidRDefault="00590ACF" w:rsidP="00590ACF"/>
    <w:p w14:paraId="25B0BC00" w14:textId="77777777" w:rsidR="00590ACF" w:rsidRDefault="00590ACF" w:rsidP="00590ACF">
      <w:pPr>
        <w:pStyle w:val="Default"/>
        <w:rPr>
          <w:sz w:val="18"/>
          <w:szCs w:val="18"/>
        </w:rPr>
      </w:pPr>
      <w:r>
        <w:rPr>
          <w:b/>
          <w:bCs/>
          <w:sz w:val="18"/>
          <w:szCs w:val="18"/>
        </w:rPr>
        <w:t xml:space="preserve">1. Inleiding </w:t>
      </w:r>
      <w:r>
        <w:rPr>
          <w:b/>
          <w:bCs/>
          <w:sz w:val="18"/>
          <w:szCs w:val="18"/>
        </w:rPr>
        <w:br/>
      </w:r>
    </w:p>
    <w:p w14:paraId="08290FF7" w14:textId="77777777" w:rsidR="00590ACF" w:rsidRDefault="00B15D8C" w:rsidP="004F66E5">
      <w:pPr>
        <w:pStyle w:val="Default"/>
        <w:spacing w:line="240" w:lineRule="atLeast"/>
        <w:rPr>
          <w:sz w:val="18"/>
          <w:szCs w:val="18"/>
        </w:rPr>
      </w:pPr>
      <w:r>
        <w:rPr>
          <w:sz w:val="18"/>
          <w:szCs w:val="18"/>
        </w:rPr>
        <w:t>Dit besluit wijzigt het Besluit kinderopvangtoeslag. Met deze wijziging</w:t>
      </w:r>
      <w:r w:rsidR="00590ACF">
        <w:rPr>
          <w:sz w:val="18"/>
          <w:szCs w:val="18"/>
        </w:rPr>
        <w:t xml:space="preserve"> worden de maximum uurprijzen en toetsingsinkomens van de ki</w:t>
      </w:r>
      <w:r w:rsidR="00506A89">
        <w:rPr>
          <w:sz w:val="18"/>
          <w:szCs w:val="18"/>
        </w:rPr>
        <w:t>nderopvangtoeslag geïndexeerd en</w:t>
      </w:r>
      <w:r w:rsidR="00590ACF">
        <w:rPr>
          <w:sz w:val="18"/>
          <w:szCs w:val="18"/>
        </w:rPr>
        <w:t xml:space="preserve"> wordt de koppeling gewerkte uren voor buitenschoolse opvang verruimd naar 140 procent</w:t>
      </w:r>
      <w:r w:rsidR="00506A89">
        <w:rPr>
          <w:sz w:val="18"/>
          <w:szCs w:val="18"/>
        </w:rPr>
        <w:t>. Tevens wordt</w:t>
      </w:r>
      <w:r w:rsidR="008374AC">
        <w:rPr>
          <w:sz w:val="18"/>
          <w:szCs w:val="18"/>
        </w:rPr>
        <w:t xml:space="preserve"> de dekking geregeld van</w:t>
      </w:r>
      <w:r w:rsidR="00506A89">
        <w:rPr>
          <w:sz w:val="18"/>
          <w:szCs w:val="18"/>
        </w:rPr>
        <w:t xml:space="preserve"> </w:t>
      </w:r>
      <w:r w:rsidR="00506A89" w:rsidRPr="00506A89">
        <w:rPr>
          <w:sz w:val="18"/>
          <w:szCs w:val="18"/>
        </w:rPr>
        <w:t>de</w:t>
      </w:r>
      <w:r w:rsidR="008374AC">
        <w:rPr>
          <w:sz w:val="18"/>
          <w:szCs w:val="18"/>
        </w:rPr>
        <w:t xml:space="preserve"> </w:t>
      </w:r>
      <w:r w:rsidR="00ED0780">
        <w:rPr>
          <w:sz w:val="18"/>
          <w:szCs w:val="18"/>
        </w:rPr>
        <w:t xml:space="preserve">verdere </w:t>
      </w:r>
      <w:r w:rsidR="008374AC">
        <w:rPr>
          <w:sz w:val="18"/>
          <w:szCs w:val="18"/>
        </w:rPr>
        <w:t>verruiming van</w:t>
      </w:r>
      <w:r w:rsidR="00506A89" w:rsidRPr="00506A89">
        <w:rPr>
          <w:sz w:val="18"/>
          <w:szCs w:val="18"/>
        </w:rPr>
        <w:t xml:space="preserve"> het recht op </w:t>
      </w:r>
      <w:r w:rsidR="00210DA7">
        <w:rPr>
          <w:sz w:val="18"/>
          <w:szCs w:val="18"/>
        </w:rPr>
        <w:t>kinderopvangtoeslag voor ouders</w:t>
      </w:r>
      <w:r w:rsidR="00506A89" w:rsidRPr="00506A89">
        <w:rPr>
          <w:sz w:val="18"/>
          <w:szCs w:val="18"/>
        </w:rPr>
        <w:t xml:space="preserve"> wiens partner is veroordeeld tot een vrijheidsbenemende straf of maatregel</w:t>
      </w:r>
      <w:r w:rsidR="00506A89">
        <w:rPr>
          <w:sz w:val="18"/>
          <w:szCs w:val="18"/>
        </w:rPr>
        <w:t xml:space="preserve"> en</w:t>
      </w:r>
      <w:r w:rsidR="008374AC">
        <w:rPr>
          <w:sz w:val="18"/>
          <w:szCs w:val="18"/>
        </w:rPr>
        <w:t xml:space="preserve"> de verhoging van</w:t>
      </w:r>
      <w:r w:rsidR="00506A89">
        <w:rPr>
          <w:sz w:val="18"/>
          <w:szCs w:val="18"/>
        </w:rPr>
        <w:t xml:space="preserve"> </w:t>
      </w:r>
      <w:r w:rsidR="00506A89" w:rsidRPr="00506A89">
        <w:rPr>
          <w:sz w:val="18"/>
          <w:szCs w:val="18"/>
        </w:rPr>
        <w:t>doelmatigheidsgrenzen voor terugvorderingen vanaf het toeslagjaar 2021</w:t>
      </w:r>
      <w:r w:rsidR="00590ACF">
        <w:rPr>
          <w:sz w:val="18"/>
          <w:szCs w:val="18"/>
        </w:rPr>
        <w:t>.</w:t>
      </w:r>
      <w:r w:rsidR="00D50EB8">
        <w:rPr>
          <w:sz w:val="18"/>
          <w:szCs w:val="18"/>
        </w:rPr>
        <w:t xml:space="preserve"> Ook wordt </w:t>
      </w:r>
      <w:r>
        <w:rPr>
          <w:sz w:val="18"/>
          <w:szCs w:val="18"/>
        </w:rPr>
        <w:t xml:space="preserve">met deze wijziging </w:t>
      </w:r>
      <w:r w:rsidR="00D50EB8">
        <w:rPr>
          <w:sz w:val="18"/>
          <w:szCs w:val="18"/>
        </w:rPr>
        <w:t xml:space="preserve">de koppeling gewerkte uren voor 2021 in verband met COVID-19 </w:t>
      </w:r>
      <w:r>
        <w:rPr>
          <w:sz w:val="18"/>
          <w:szCs w:val="18"/>
        </w:rPr>
        <w:t>verruimd</w:t>
      </w:r>
      <w:r w:rsidR="00D50EB8">
        <w:rPr>
          <w:sz w:val="18"/>
          <w:szCs w:val="18"/>
        </w:rPr>
        <w:t xml:space="preserve">. </w:t>
      </w:r>
      <w:r w:rsidR="00522B85">
        <w:rPr>
          <w:sz w:val="18"/>
          <w:szCs w:val="18"/>
        </w:rPr>
        <w:t>Deze wijzigingen worden hieronder toegelicht.</w:t>
      </w:r>
      <w:r w:rsidR="00506A89">
        <w:rPr>
          <w:sz w:val="18"/>
          <w:szCs w:val="18"/>
        </w:rPr>
        <w:t xml:space="preserve"> </w:t>
      </w:r>
    </w:p>
    <w:p w14:paraId="2A56208B" w14:textId="77777777" w:rsidR="00590ACF" w:rsidRDefault="00590ACF" w:rsidP="004F66E5">
      <w:pPr>
        <w:pStyle w:val="Default"/>
        <w:spacing w:line="240" w:lineRule="atLeast"/>
        <w:rPr>
          <w:sz w:val="18"/>
          <w:szCs w:val="18"/>
        </w:rPr>
      </w:pPr>
    </w:p>
    <w:p w14:paraId="452B359C" w14:textId="77777777" w:rsidR="00590ACF" w:rsidRDefault="00590ACF" w:rsidP="004F66E5">
      <w:pPr>
        <w:pStyle w:val="Default"/>
        <w:spacing w:line="240" w:lineRule="atLeast"/>
        <w:rPr>
          <w:b/>
          <w:sz w:val="18"/>
          <w:szCs w:val="18"/>
        </w:rPr>
      </w:pPr>
      <w:r>
        <w:rPr>
          <w:b/>
          <w:sz w:val="18"/>
          <w:szCs w:val="18"/>
        </w:rPr>
        <w:t xml:space="preserve">2. Wijzingen kinderopvangtoeslag 2022 </w:t>
      </w:r>
    </w:p>
    <w:p w14:paraId="25B47598" w14:textId="77777777" w:rsidR="00590ACF" w:rsidRDefault="00590ACF" w:rsidP="004F66E5">
      <w:pPr>
        <w:pStyle w:val="Default"/>
        <w:spacing w:line="240" w:lineRule="atLeast"/>
        <w:rPr>
          <w:b/>
          <w:sz w:val="18"/>
          <w:szCs w:val="18"/>
        </w:rPr>
      </w:pPr>
    </w:p>
    <w:p w14:paraId="17100C7B" w14:textId="77777777" w:rsidR="002F5279" w:rsidRDefault="002F5279" w:rsidP="004F66E5">
      <w:pPr>
        <w:pStyle w:val="Default"/>
        <w:spacing w:line="240" w:lineRule="atLeast"/>
        <w:rPr>
          <w:i/>
          <w:sz w:val="18"/>
          <w:szCs w:val="18"/>
        </w:rPr>
      </w:pPr>
      <w:r>
        <w:rPr>
          <w:i/>
          <w:sz w:val="18"/>
          <w:szCs w:val="18"/>
        </w:rPr>
        <w:t>2</w:t>
      </w:r>
      <w:r w:rsidR="00475830">
        <w:rPr>
          <w:i/>
          <w:sz w:val="18"/>
          <w:szCs w:val="18"/>
        </w:rPr>
        <w:t>.1</w:t>
      </w:r>
      <w:r>
        <w:rPr>
          <w:i/>
          <w:sz w:val="18"/>
          <w:szCs w:val="18"/>
        </w:rPr>
        <w:t xml:space="preserve"> Verruiming koppeling gewerkte uren buitenschoolse opvang</w:t>
      </w:r>
      <w:r w:rsidR="009C7D23">
        <w:rPr>
          <w:i/>
          <w:sz w:val="18"/>
          <w:szCs w:val="18"/>
        </w:rPr>
        <w:t xml:space="preserve"> </w:t>
      </w:r>
      <w:r w:rsidR="009C7D23" w:rsidRPr="009C7D23">
        <w:rPr>
          <w:i/>
          <w:sz w:val="18"/>
          <w:szCs w:val="18"/>
        </w:rPr>
        <w:t>en enkele andere</w:t>
      </w:r>
      <w:r w:rsidR="00117705">
        <w:rPr>
          <w:i/>
          <w:sz w:val="18"/>
          <w:szCs w:val="18"/>
        </w:rPr>
        <w:t xml:space="preserve"> maatregelen</w:t>
      </w:r>
      <w:r w:rsidR="009C7D23" w:rsidRPr="009C7D23">
        <w:rPr>
          <w:i/>
          <w:sz w:val="18"/>
          <w:szCs w:val="18"/>
        </w:rPr>
        <w:t xml:space="preserve"> </w:t>
      </w:r>
    </w:p>
    <w:p w14:paraId="5DBB905E" w14:textId="77777777" w:rsidR="00EE029A" w:rsidRDefault="00B15D8C" w:rsidP="004F66E5">
      <w:pPr>
        <w:pStyle w:val="Default"/>
        <w:spacing w:line="240" w:lineRule="atLeast"/>
        <w:rPr>
          <w:sz w:val="18"/>
          <w:szCs w:val="18"/>
        </w:rPr>
      </w:pPr>
      <w:r>
        <w:rPr>
          <w:sz w:val="18"/>
          <w:szCs w:val="18"/>
        </w:rPr>
        <w:t>I</w:t>
      </w:r>
      <w:r w:rsidR="00EE029A">
        <w:rPr>
          <w:sz w:val="18"/>
          <w:szCs w:val="18"/>
        </w:rPr>
        <w:t>n de begroting</w:t>
      </w:r>
      <w:r>
        <w:rPr>
          <w:sz w:val="18"/>
          <w:szCs w:val="18"/>
        </w:rPr>
        <w:t xml:space="preserve"> van het Ministerie van</w:t>
      </w:r>
      <w:r w:rsidR="00EE029A">
        <w:rPr>
          <w:sz w:val="18"/>
          <w:szCs w:val="18"/>
        </w:rPr>
        <w:t xml:space="preserve"> </w:t>
      </w:r>
      <w:r w:rsidR="00152A0F">
        <w:rPr>
          <w:sz w:val="18"/>
          <w:szCs w:val="18"/>
        </w:rPr>
        <w:t>S</w:t>
      </w:r>
      <w:r>
        <w:rPr>
          <w:sz w:val="18"/>
          <w:szCs w:val="18"/>
        </w:rPr>
        <w:t xml:space="preserve">ociale </w:t>
      </w:r>
      <w:r w:rsidR="00152A0F">
        <w:rPr>
          <w:sz w:val="18"/>
          <w:szCs w:val="18"/>
        </w:rPr>
        <w:t>Z</w:t>
      </w:r>
      <w:r>
        <w:rPr>
          <w:sz w:val="18"/>
          <w:szCs w:val="18"/>
        </w:rPr>
        <w:t xml:space="preserve">aken en </w:t>
      </w:r>
      <w:r w:rsidR="00152A0F">
        <w:rPr>
          <w:sz w:val="18"/>
          <w:szCs w:val="18"/>
        </w:rPr>
        <w:t>W</w:t>
      </w:r>
      <w:r>
        <w:rPr>
          <w:sz w:val="18"/>
          <w:szCs w:val="18"/>
        </w:rPr>
        <w:t>erkgelegenheid (SZW)</w:t>
      </w:r>
      <w:r w:rsidR="00152A0F">
        <w:rPr>
          <w:sz w:val="18"/>
          <w:szCs w:val="18"/>
        </w:rPr>
        <w:t xml:space="preserve"> </w:t>
      </w:r>
      <w:r>
        <w:rPr>
          <w:sz w:val="18"/>
          <w:szCs w:val="18"/>
        </w:rPr>
        <w:t>is aangekondigd dat</w:t>
      </w:r>
      <w:r w:rsidR="00EE029A">
        <w:rPr>
          <w:sz w:val="18"/>
          <w:szCs w:val="18"/>
        </w:rPr>
        <w:t xml:space="preserve"> de koppeling gewerkte uren (KGU) </w:t>
      </w:r>
      <w:r>
        <w:rPr>
          <w:sz w:val="18"/>
          <w:szCs w:val="18"/>
        </w:rPr>
        <w:t xml:space="preserve">wordt </w:t>
      </w:r>
      <w:r w:rsidR="00EE029A">
        <w:rPr>
          <w:sz w:val="18"/>
          <w:szCs w:val="18"/>
        </w:rPr>
        <w:t>verruimd voor de buitenschoolse opvang per 1 januari 2022.</w:t>
      </w:r>
      <w:r w:rsidR="00EE029A">
        <w:rPr>
          <w:rStyle w:val="Voetnootmarkering"/>
          <w:sz w:val="18"/>
          <w:szCs w:val="18"/>
        </w:rPr>
        <w:footnoteReference w:id="1"/>
      </w:r>
      <w:r w:rsidR="00EE029A">
        <w:rPr>
          <w:sz w:val="18"/>
          <w:szCs w:val="18"/>
        </w:rPr>
        <w:t xml:space="preserve"> Ouders kunnen vanaf dat moment ook voor de buitenschoolse opvang aanspraak maken op kinderopvangtoeslag voor maximaal 140 procent van het aantal gewerkte uren van de minst werkende partner. Dat is nu nog 70 procent. Aan het vaststellen van het percentage op 70 procent bij de introductie van de KGU per 1 januari 2013 lag de veronderstelling ten </w:t>
      </w:r>
      <w:r w:rsidR="00EE029A" w:rsidRPr="007F507A">
        <w:rPr>
          <w:sz w:val="18"/>
          <w:szCs w:val="18"/>
        </w:rPr>
        <w:t xml:space="preserve">grondslag </w:t>
      </w:r>
      <w:r w:rsidR="00EE029A">
        <w:rPr>
          <w:sz w:val="18"/>
          <w:szCs w:val="18"/>
        </w:rPr>
        <w:t>dat de werktijd van</w:t>
      </w:r>
      <w:r w:rsidR="00EE029A" w:rsidRPr="007F507A">
        <w:rPr>
          <w:sz w:val="18"/>
          <w:szCs w:val="18"/>
        </w:rPr>
        <w:t xml:space="preserve"> ouders voor minimaal 30 procent</w:t>
      </w:r>
      <w:r w:rsidR="00EE029A" w:rsidRPr="007F507A" w:rsidDel="00E710C1">
        <w:rPr>
          <w:sz w:val="18"/>
          <w:szCs w:val="18"/>
        </w:rPr>
        <w:t xml:space="preserve"> </w:t>
      </w:r>
      <w:r w:rsidR="00EE029A" w:rsidRPr="007F507A">
        <w:rPr>
          <w:sz w:val="18"/>
          <w:szCs w:val="18"/>
        </w:rPr>
        <w:t>overlap</w:t>
      </w:r>
      <w:r w:rsidR="00EE029A">
        <w:rPr>
          <w:sz w:val="18"/>
          <w:szCs w:val="18"/>
        </w:rPr>
        <w:t>t</w:t>
      </w:r>
      <w:r w:rsidR="00EE029A" w:rsidRPr="007F507A">
        <w:rPr>
          <w:sz w:val="18"/>
          <w:szCs w:val="18"/>
        </w:rPr>
        <w:t xml:space="preserve"> met schooltijden. Dit percentage was </w:t>
      </w:r>
      <w:r w:rsidR="00EE029A">
        <w:rPr>
          <w:sz w:val="18"/>
          <w:szCs w:val="18"/>
        </w:rPr>
        <w:t xml:space="preserve">destijds </w:t>
      </w:r>
      <w:r w:rsidR="00EE029A" w:rsidRPr="007F507A">
        <w:rPr>
          <w:sz w:val="18"/>
          <w:szCs w:val="18"/>
        </w:rPr>
        <w:t>berekend op basis van</w:t>
      </w:r>
      <w:r w:rsidR="00EE029A">
        <w:rPr>
          <w:sz w:val="18"/>
          <w:szCs w:val="18"/>
        </w:rPr>
        <w:t xml:space="preserve"> cijfers over</w:t>
      </w:r>
      <w:r w:rsidR="00EE029A" w:rsidRPr="007F507A">
        <w:rPr>
          <w:sz w:val="18"/>
          <w:szCs w:val="18"/>
        </w:rPr>
        <w:t xml:space="preserve"> het total</w:t>
      </w:r>
      <w:r>
        <w:rPr>
          <w:sz w:val="18"/>
          <w:szCs w:val="18"/>
        </w:rPr>
        <w:t>e</w:t>
      </w:r>
      <w:r w:rsidR="00EE029A" w:rsidRPr="007F507A">
        <w:rPr>
          <w:sz w:val="18"/>
          <w:szCs w:val="18"/>
        </w:rPr>
        <w:t xml:space="preserve"> aantal </w:t>
      </w:r>
      <w:r w:rsidR="00EE029A">
        <w:rPr>
          <w:sz w:val="18"/>
          <w:szCs w:val="18"/>
        </w:rPr>
        <w:t>gebruikte</w:t>
      </w:r>
      <w:r w:rsidR="00EE029A" w:rsidRPr="007F507A">
        <w:rPr>
          <w:sz w:val="18"/>
          <w:szCs w:val="18"/>
        </w:rPr>
        <w:t xml:space="preserve"> uren voor de dagopvang en buitenschoolse opvang. Het gemiddelde aantal gebruikte uren in de dagopvang was tweemaal zo hoog als in de buitenschoolse opvang. Om die reden </w:t>
      </w:r>
      <w:r w:rsidR="00EE029A">
        <w:rPr>
          <w:sz w:val="18"/>
          <w:szCs w:val="18"/>
        </w:rPr>
        <w:t>is destijds het</w:t>
      </w:r>
      <w:r w:rsidR="00EE029A" w:rsidRPr="007F507A">
        <w:rPr>
          <w:sz w:val="18"/>
          <w:szCs w:val="18"/>
        </w:rPr>
        <w:t xml:space="preserve"> recht op</w:t>
      </w:r>
      <w:r w:rsidR="00EE029A">
        <w:rPr>
          <w:sz w:val="18"/>
          <w:szCs w:val="18"/>
        </w:rPr>
        <w:t xml:space="preserve"> het aantal uren</w:t>
      </w:r>
      <w:r w:rsidR="00EE029A" w:rsidRPr="007F507A">
        <w:rPr>
          <w:sz w:val="18"/>
          <w:szCs w:val="18"/>
        </w:rPr>
        <w:t xml:space="preserve"> kinderopvangtoeslag voor de buitenschoolse opvang gehalveerd ten opzichte van de dagopvang, </w:t>
      </w:r>
      <w:r w:rsidR="00EE029A">
        <w:rPr>
          <w:sz w:val="18"/>
          <w:szCs w:val="18"/>
        </w:rPr>
        <w:t>dat wil zeggen 140 procent voor de kinderdagopvang en 70 procent voor de buitenschoolse opvang</w:t>
      </w:r>
      <w:r w:rsidR="00EE029A" w:rsidRPr="007F507A">
        <w:rPr>
          <w:sz w:val="18"/>
          <w:szCs w:val="18"/>
        </w:rPr>
        <w:t xml:space="preserve">. Dit verschil in </w:t>
      </w:r>
      <w:r w:rsidR="00EE029A">
        <w:rPr>
          <w:sz w:val="18"/>
          <w:szCs w:val="18"/>
        </w:rPr>
        <w:t xml:space="preserve">daadwerkelijk </w:t>
      </w:r>
      <w:r w:rsidR="00EE029A" w:rsidRPr="007F507A">
        <w:rPr>
          <w:sz w:val="18"/>
          <w:szCs w:val="18"/>
        </w:rPr>
        <w:t>gebruik tussen dagopvang en buitenschoolse opvang bestaat nog steeds</w:t>
      </w:r>
      <w:r w:rsidR="00EE029A">
        <w:rPr>
          <w:sz w:val="18"/>
          <w:szCs w:val="18"/>
        </w:rPr>
        <w:t xml:space="preserve">. Tegelijkertijd </w:t>
      </w:r>
      <w:r w:rsidR="00EE029A" w:rsidRPr="007F507A">
        <w:rPr>
          <w:sz w:val="18"/>
          <w:szCs w:val="18"/>
        </w:rPr>
        <w:t>gaat</w:t>
      </w:r>
      <w:r w:rsidR="00EE029A">
        <w:rPr>
          <w:sz w:val="18"/>
          <w:szCs w:val="18"/>
        </w:rPr>
        <w:t xml:space="preserve"> de</w:t>
      </w:r>
      <w:r w:rsidR="00EE029A" w:rsidRPr="007F507A">
        <w:rPr>
          <w:sz w:val="18"/>
          <w:szCs w:val="18"/>
        </w:rPr>
        <w:t xml:space="preserve"> algemene aanname </w:t>
      </w:r>
      <w:r w:rsidR="00EE029A">
        <w:rPr>
          <w:sz w:val="18"/>
          <w:szCs w:val="18"/>
        </w:rPr>
        <w:t xml:space="preserve">rondom de overlap van werktijd met tijden </w:t>
      </w:r>
      <w:r w:rsidR="00446DE5">
        <w:rPr>
          <w:sz w:val="18"/>
          <w:szCs w:val="18"/>
        </w:rPr>
        <w:t xml:space="preserve">waarop de buitenschoolse opvang is geopend (BSO-tijden) </w:t>
      </w:r>
      <w:r w:rsidR="00EE029A" w:rsidRPr="007F507A">
        <w:rPr>
          <w:sz w:val="18"/>
          <w:szCs w:val="18"/>
        </w:rPr>
        <w:t>niet voor iedere ouder op. Een voorbeeld</w:t>
      </w:r>
      <w:r w:rsidR="00EE029A" w:rsidRPr="009A7426">
        <w:rPr>
          <w:sz w:val="18"/>
          <w:szCs w:val="18"/>
        </w:rPr>
        <w:t xml:space="preserve"> zijn ouders die in de avond/nacht of het weekend werken en</w:t>
      </w:r>
      <w:r w:rsidR="00EE029A">
        <w:rPr>
          <w:sz w:val="18"/>
          <w:szCs w:val="18"/>
        </w:rPr>
        <w:t xml:space="preserve"> om die reden</w:t>
      </w:r>
      <w:r w:rsidR="00EE029A" w:rsidRPr="009A7426">
        <w:rPr>
          <w:sz w:val="18"/>
          <w:szCs w:val="18"/>
        </w:rPr>
        <w:t xml:space="preserve"> meer uren buitenschoolse opvang afnemen.</w:t>
      </w:r>
      <w:r w:rsidR="000C3DE9">
        <w:rPr>
          <w:sz w:val="18"/>
          <w:szCs w:val="18"/>
        </w:rPr>
        <w:t xml:space="preserve"> Tevens is de arbeidsmarkt de afgelopen jaren veranderd en zijn er steeds meer mensen waarvan de werktijden structureel afwij</w:t>
      </w:r>
      <w:r w:rsidR="00A54A67">
        <w:rPr>
          <w:sz w:val="18"/>
          <w:szCs w:val="18"/>
        </w:rPr>
        <w:t>ken van de BSO-tijden,</w:t>
      </w:r>
      <w:r w:rsidR="000C3DE9">
        <w:rPr>
          <w:sz w:val="18"/>
          <w:szCs w:val="18"/>
        </w:rPr>
        <w:t xml:space="preserve"> zoals </w:t>
      </w:r>
      <w:r w:rsidR="000C3DE9" w:rsidRPr="000C3DE9">
        <w:rPr>
          <w:sz w:val="18"/>
          <w:szCs w:val="18"/>
        </w:rPr>
        <w:t>zelfstandigen zonder personeel</w:t>
      </w:r>
      <w:r w:rsidR="000C3DE9">
        <w:rPr>
          <w:sz w:val="18"/>
          <w:szCs w:val="18"/>
        </w:rPr>
        <w:t xml:space="preserve">. </w:t>
      </w:r>
      <w:r w:rsidR="00EE029A">
        <w:rPr>
          <w:sz w:val="18"/>
          <w:szCs w:val="18"/>
        </w:rPr>
        <w:t>De huidige KGU voor de buitenschoolse opvang</w:t>
      </w:r>
      <w:r w:rsidR="00EE029A" w:rsidRPr="009A7426">
        <w:rPr>
          <w:sz w:val="18"/>
          <w:szCs w:val="18"/>
        </w:rPr>
        <w:t xml:space="preserve"> </w:t>
      </w:r>
      <w:r w:rsidR="00EE029A">
        <w:rPr>
          <w:sz w:val="18"/>
          <w:szCs w:val="18"/>
        </w:rPr>
        <w:t>kan</w:t>
      </w:r>
      <w:r w:rsidR="00EE029A" w:rsidRPr="009A7426">
        <w:rPr>
          <w:sz w:val="18"/>
          <w:szCs w:val="18"/>
        </w:rPr>
        <w:t xml:space="preserve"> voor een belemmering in de arbeidsparticipatie van deze ouders </w:t>
      </w:r>
      <w:r w:rsidR="00EE029A">
        <w:rPr>
          <w:sz w:val="18"/>
          <w:szCs w:val="18"/>
        </w:rPr>
        <w:t>zorgen. H</w:t>
      </w:r>
      <w:r w:rsidR="00EE029A" w:rsidRPr="009A7426">
        <w:rPr>
          <w:sz w:val="18"/>
          <w:szCs w:val="18"/>
        </w:rPr>
        <w:t xml:space="preserve">et kabinet </w:t>
      </w:r>
      <w:r w:rsidR="00EE029A">
        <w:rPr>
          <w:sz w:val="18"/>
          <w:szCs w:val="18"/>
        </w:rPr>
        <w:t xml:space="preserve">acht </w:t>
      </w:r>
      <w:r w:rsidR="00EE029A" w:rsidRPr="009A7426">
        <w:rPr>
          <w:sz w:val="18"/>
          <w:szCs w:val="18"/>
        </w:rPr>
        <w:t xml:space="preserve">het wenselijk </w:t>
      </w:r>
      <w:r w:rsidR="00EE029A">
        <w:rPr>
          <w:sz w:val="18"/>
          <w:szCs w:val="18"/>
        </w:rPr>
        <w:t xml:space="preserve">om </w:t>
      </w:r>
      <w:r w:rsidR="00EE029A" w:rsidRPr="009A7426">
        <w:rPr>
          <w:sz w:val="18"/>
          <w:szCs w:val="18"/>
        </w:rPr>
        <w:t>deze belemmering weg te nemen</w:t>
      </w:r>
      <w:r w:rsidR="00EE029A">
        <w:rPr>
          <w:sz w:val="18"/>
          <w:szCs w:val="18"/>
        </w:rPr>
        <w:t>, zodat de beleidsdoelstelling van de kinderopvangtoeslag, namelijk het ondersteunen en stimuleren van de arbeidsparticipatie van ouders met jonge kinderen, ook voor ouders met arbeidstijden in de avond en weekenden beter gerealiseerd wordt</w:t>
      </w:r>
      <w:r w:rsidR="00EE029A" w:rsidRPr="009A7426">
        <w:rPr>
          <w:sz w:val="18"/>
          <w:szCs w:val="18"/>
        </w:rPr>
        <w:t>.</w:t>
      </w:r>
      <w:r w:rsidR="00EE029A">
        <w:rPr>
          <w:sz w:val="18"/>
          <w:szCs w:val="18"/>
        </w:rPr>
        <w:t xml:space="preserve"> Dat gebeurt met de verruiming van de KGU voor buitenschoolse opvang naar 140 procent. </w:t>
      </w:r>
    </w:p>
    <w:p w14:paraId="7F9E3D23" w14:textId="77777777" w:rsidR="00EE029A" w:rsidRDefault="00EE029A" w:rsidP="004F66E5">
      <w:pPr>
        <w:pStyle w:val="Default"/>
        <w:spacing w:line="240" w:lineRule="atLeast"/>
        <w:rPr>
          <w:sz w:val="18"/>
          <w:szCs w:val="18"/>
        </w:rPr>
      </w:pPr>
    </w:p>
    <w:p w14:paraId="749C637E" w14:textId="77777777" w:rsidR="00EE029A" w:rsidRDefault="00E52D4A" w:rsidP="004F66E5">
      <w:pPr>
        <w:pStyle w:val="Default"/>
        <w:spacing w:line="240" w:lineRule="atLeast"/>
        <w:rPr>
          <w:sz w:val="18"/>
          <w:szCs w:val="18"/>
        </w:rPr>
      </w:pPr>
      <w:r w:rsidRPr="00430C4C">
        <w:rPr>
          <w:sz w:val="18"/>
          <w:szCs w:val="18"/>
        </w:rPr>
        <w:t xml:space="preserve">De </w:t>
      </w:r>
      <w:r>
        <w:rPr>
          <w:sz w:val="18"/>
          <w:szCs w:val="18"/>
        </w:rPr>
        <w:t xml:space="preserve">verruiming van de KGU </w:t>
      </w:r>
      <w:r w:rsidRPr="00430C4C">
        <w:rPr>
          <w:sz w:val="18"/>
          <w:szCs w:val="18"/>
        </w:rPr>
        <w:t xml:space="preserve">komt ten goede aan </w:t>
      </w:r>
      <w:r>
        <w:rPr>
          <w:sz w:val="18"/>
          <w:szCs w:val="18"/>
        </w:rPr>
        <w:t>ouders met kinderopvangtoeslag</w:t>
      </w:r>
      <w:r w:rsidRPr="00430C4C">
        <w:rPr>
          <w:sz w:val="18"/>
          <w:szCs w:val="18"/>
        </w:rPr>
        <w:t xml:space="preserve"> die nu tegen </w:t>
      </w:r>
      <w:r>
        <w:rPr>
          <w:sz w:val="18"/>
          <w:szCs w:val="18"/>
        </w:rPr>
        <w:t xml:space="preserve">de hierboven omschreven belemmering </w:t>
      </w:r>
      <w:r w:rsidRPr="00430C4C">
        <w:rPr>
          <w:sz w:val="18"/>
          <w:szCs w:val="18"/>
        </w:rPr>
        <w:t>aanlopen</w:t>
      </w:r>
      <w:r>
        <w:rPr>
          <w:sz w:val="18"/>
          <w:szCs w:val="18"/>
        </w:rPr>
        <w:t xml:space="preserve">. </w:t>
      </w:r>
      <w:r w:rsidR="00EE029A">
        <w:rPr>
          <w:sz w:val="18"/>
          <w:szCs w:val="18"/>
        </w:rPr>
        <w:t xml:space="preserve">Door het verruimen van de KGU voor de buitenschoolse opvang, stijgen de structurele uitgaven aan de kinderopvangtoeslag naar verwachting met € 20 miljoen. In de begroting </w:t>
      </w:r>
      <w:r w:rsidR="00446DE5">
        <w:rPr>
          <w:sz w:val="18"/>
          <w:szCs w:val="18"/>
        </w:rPr>
        <w:t xml:space="preserve">van het Ministerie van </w:t>
      </w:r>
      <w:r w:rsidR="00EE029A">
        <w:rPr>
          <w:sz w:val="18"/>
          <w:szCs w:val="18"/>
        </w:rPr>
        <w:t xml:space="preserve">SZW is aangekondigd dat de structurele uitgaven worden gedekt met een maatregel binnen de kinderopvangtoeslag. </w:t>
      </w:r>
    </w:p>
    <w:p w14:paraId="2EA1DBAD" w14:textId="77777777" w:rsidR="00EE029A" w:rsidRDefault="00EE029A" w:rsidP="004F66E5">
      <w:pPr>
        <w:pStyle w:val="Default"/>
        <w:spacing w:line="240" w:lineRule="atLeast"/>
        <w:rPr>
          <w:sz w:val="18"/>
          <w:szCs w:val="18"/>
        </w:rPr>
      </w:pPr>
    </w:p>
    <w:p w14:paraId="12753BEA" w14:textId="77777777" w:rsidR="00EE029A" w:rsidRDefault="00EE029A" w:rsidP="004F66E5">
      <w:pPr>
        <w:pStyle w:val="Default"/>
        <w:spacing w:line="240" w:lineRule="atLeast"/>
        <w:rPr>
          <w:sz w:val="18"/>
          <w:szCs w:val="18"/>
        </w:rPr>
      </w:pPr>
      <w:r>
        <w:rPr>
          <w:sz w:val="18"/>
          <w:szCs w:val="18"/>
        </w:rPr>
        <w:t>Daarnaast zijn er nog twee andere maatregelen genomen</w:t>
      </w:r>
      <w:r w:rsidR="00550EF8">
        <w:rPr>
          <w:sz w:val="18"/>
          <w:szCs w:val="18"/>
        </w:rPr>
        <w:t xml:space="preserve"> </w:t>
      </w:r>
      <w:r w:rsidR="00550EF8" w:rsidRPr="00550EF8">
        <w:rPr>
          <w:sz w:val="18"/>
          <w:szCs w:val="18"/>
        </w:rPr>
        <w:t xml:space="preserve">op basis van amendementen </w:t>
      </w:r>
      <w:r>
        <w:rPr>
          <w:sz w:val="18"/>
          <w:szCs w:val="18"/>
        </w:rPr>
        <w:t xml:space="preserve"> die nog van dekking moeten worden voorzien. </w:t>
      </w:r>
      <w:r w:rsidR="00446DE5">
        <w:rPr>
          <w:sz w:val="18"/>
          <w:szCs w:val="18"/>
        </w:rPr>
        <w:t>D</w:t>
      </w:r>
      <w:r>
        <w:rPr>
          <w:sz w:val="18"/>
          <w:szCs w:val="18"/>
        </w:rPr>
        <w:t xml:space="preserve">e eerste </w:t>
      </w:r>
      <w:r w:rsidR="00446DE5">
        <w:rPr>
          <w:sz w:val="18"/>
          <w:szCs w:val="18"/>
        </w:rPr>
        <w:t xml:space="preserve">gaat over </w:t>
      </w:r>
      <w:r>
        <w:rPr>
          <w:sz w:val="18"/>
          <w:szCs w:val="18"/>
        </w:rPr>
        <w:t xml:space="preserve">het recht op </w:t>
      </w:r>
      <w:r w:rsidR="006B135C">
        <w:rPr>
          <w:sz w:val="18"/>
          <w:szCs w:val="18"/>
        </w:rPr>
        <w:t>kinderopvangtoeslag voor ouders</w:t>
      </w:r>
      <w:r w:rsidRPr="00AF548F">
        <w:rPr>
          <w:sz w:val="18"/>
          <w:szCs w:val="18"/>
        </w:rPr>
        <w:t xml:space="preserve"> wiens partner is veroordeeld tot een vrijheidsbenemende straf of maatregel.</w:t>
      </w:r>
      <w:r>
        <w:rPr>
          <w:sz w:val="18"/>
          <w:szCs w:val="18"/>
        </w:rPr>
        <w:t xml:space="preserve"> In </w:t>
      </w:r>
      <w:r w:rsidR="00F52F55">
        <w:rPr>
          <w:sz w:val="18"/>
          <w:szCs w:val="18"/>
        </w:rPr>
        <w:t>de Wet</w:t>
      </w:r>
      <w:r w:rsidR="00446DE5">
        <w:rPr>
          <w:sz w:val="18"/>
          <w:szCs w:val="18"/>
        </w:rPr>
        <w:t xml:space="preserve"> </w:t>
      </w:r>
      <w:r>
        <w:rPr>
          <w:sz w:val="18"/>
          <w:szCs w:val="18"/>
        </w:rPr>
        <w:t>verbetering uitvoerbaarheid toeslagen is het recht op kinderopvangtoeslag uit</w:t>
      </w:r>
      <w:r w:rsidR="00F52F55">
        <w:rPr>
          <w:sz w:val="18"/>
          <w:szCs w:val="18"/>
        </w:rPr>
        <w:t>ge</w:t>
      </w:r>
      <w:r>
        <w:rPr>
          <w:sz w:val="18"/>
          <w:szCs w:val="18"/>
        </w:rPr>
        <w:t xml:space="preserve">breid voor ouders die werken, een opleiding, re-integratietraject of inburgeringstraject volgen en een partner hebben </w:t>
      </w:r>
      <w:r w:rsidR="002E5260">
        <w:rPr>
          <w:sz w:val="18"/>
          <w:szCs w:val="18"/>
        </w:rPr>
        <w:t xml:space="preserve">die </w:t>
      </w:r>
      <w:r w:rsidR="00C21841">
        <w:rPr>
          <w:sz w:val="18"/>
          <w:szCs w:val="18"/>
        </w:rPr>
        <w:t>is veroordeeld tot</w:t>
      </w:r>
      <w:r>
        <w:rPr>
          <w:sz w:val="18"/>
          <w:szCs w:val="18"/>
        </w:rPr>
        <w:t xml:space="preserve"> een vrijheidsbenemende straf </w:t>
      </w:r>
      <w:r w:rsidR="00C21841">
        <w:rPr>
          <w:sz w:val="18"/>
          <w:szCs w:val="18"/>
        </w:rPr>
        <w:t>of maatregel van minimaal drie maanden, gedurende de periode waarin die straf of maatregel ten uitvoer wordt gelegd</w:t>
      </w:r>
      <w:r>
        <w:rPr>
          <w:sz w:val="18"/>
          <w:szCs w:val="18"/>
        </w:rPr>
        <w:t>.</w:t>
      </w:r>
      <w:r w:rsidR="00C21841">
        <w:rPr>
          <w:sz w:val="18"/>
          <w:szCs w:val="18"/>
        </w:rPr>
        <w:t xml:space="preserve"> Het oorspronkelijke wetsvoorstel bevatte niet een termijn van drie maanden, maar van een jaar.</w:t>
      </w:r>
      <w:r>
        <w:rPr>
          <w:sz w:val="18"/>
          <w:szCs w:val="18"/>
        </w:rPr>
        <w:t xml:space="preserve"> Gedur</w:t>
      </w:r>
      <w:r w:rsidR="00092E2C">
        <w:rPr>
          <w:sz w:val="18"/>
          <w:szCs w:val="18"/>
        </w:rPr>
        <w:t xml:space="preserve">ende de behandeling </w:t>
      </w:r>
      <w:r w:rsidR="00C21841">
        <w:rPr>
          <w:sz w:val="18"/>
          <w:szCs w:val="18"/>
        </w:rPr>
        <w:t xml:space="preserve">van het wetsvoorstel </w:t>
      </w:r>
      <w:r w:rsidR="00092E2C">
        <w:rPr>
          <w:sz w:val="18"/>
          <w:szCs w:val="18"/>
        </w:rPr>
        <w:t xml:space="preserve">in het </w:t>
      </w:r>
      <w:r w:rsidR="00C21841">
        <w:rPr>
          <w:sz w:val="18"/>
          <w:szCs w:val="18"/>
        </w:rPr>
        <w:t>Tweede Kamer</w:t>
      </w:r>
      <w:r>
        <w:rPr>
          <w:sz w:val="18"/>
          <w:szCs w:val="18"/>
        </w:rPr>
        <w:t xml:space="preserve"> is, per amendement van de leden Omtzigt en Van Weyenberg</w:t>
      </w:r>
      <w:r>
        <w:rPr>
          <w:rStyle w:val="Voetnootmarkering"/>
          <w:sz w:val="18"/>
          <w:szCs w:val="18"/>
        </w:rPr>
        <w:footnoteReference w:id="2"/>
      </w:r>
      <w:r>
        <w:rPr>
          <w:sz w:val="18"/>
          <w:szCs w:val="18"/>
        </w:rPr>
        <w:t xml:space="preserve">, deze termijn verkort naar drie maanden. Het aantal gezinnen dat met deze maatregel is geholpen neemt hierdoor toe, eveneens als de budgettaire beslag van de maatregel. </w:t>
      </w:r>
      <w:r w:rsidR="005E7DEE">
        <w:rPr>
          <w:sz w:val="18"/>
          <w:szCs w:val="18"/>
        </w:rPr>
        <w:t>Voor deze maatregel is structureel nog € 1,5 miljoen aan dekking nodig</w:t>
      </w:r>
      <w:r>
        <w:rPr>
          <w:sz w:val="18"/>
          <w:szCs w:val="18"/>
        </w:rPr>
        <w:t xml:space="preserve">. Bij amendement is gekozen om deze extra kosten uit de kinderopvangtoeslag te halen. Deze maatregel komt per 2022 ten goede aan ouders met kinderopvangtoeslag, waarbij in het amendement ook is gekozen om dekking te vinden binnen de kinderopvangtoeslag. </w:t>
      </w:r>
    </w:p>
    <w:p w14:paraId="36883F19" w14:textId="77777777" w:rsidR="00EE029A" w:rsidRDefault="00EE029A" w:rsidP="004F66E5">
      <w:pPr>
        <w:pStyle w:val="Default"/>
        <w:spacing w:line="240" w:lineRule="atLeast"/>
        <w:rPr>
          <w:sz w:val="18"/>
          <w:szCs w:val="18"/>
        </w:rPr>
      </w:pPr>
    </w:p>
    <w:p w14:paraId="23E979AD" w14:textId="72BD118F" w:rsidR="00EE029A" w:rsidRDefault="00550EF8" w:rsidP="004F66E5">
      <w:pPr>
        <w:pStyle w:val="Default"/>
        <w:spacing w:line="240" w:lineRule="atLeast"/>
        <w:rPr>
          <w:sz w:val="18"/>
          <w:szCs w:val="18"/>
        </w:rPr>
      </w:pPr>
      <w:r>
        <w:rPr>
          <w:sz w:val="18"/>
          <w:szCs w:val="18"/>
        </w:rPr>
        <w:t>Ten tweede</w:t>
      </w:r>
      <w:r w:rsidR="00EE029A">
        <w:rPr>
          <w:sz w:val="18"/>
          <w:szCs w:val="18"/>
        </w:rPr>
        <w:t xml:space="preserve"> </w:t>
      </w:r>
      <w:r w:rsidR="00506A89">
        <w:rPr>
          <w:sz w:val="18"/>
          <w:szCs w:val="18"/>
        </w:rPr>
        <w:t>zijn</w:t>
      </w:r>
      <w:r w:rsidR="00EE029A">
        <w:rPr>
          <w:sz w:val="18"/>
          <w:szCs w:val="18"/>
        </w:rPr>
        <w:t xml:space="preserve"> bij</w:t>
      </w:r>
      <w:r w:rsidR="00C21841">
        <w:rPr>
          <w:sz w:val="18"/>
          <w:szCs w:val="18"/>
        </w:rPr>
        <w:t xml:space="preserve"> de</w:t>
      </w:r>
      <w:r w:rsidR="00EE029A">
        <w:rPr>
          <w:sz w:val="18"/>
          <w:szCs w:val="18"/>
        </w:rPr>
        <w:t xml:space="preserve"> Wet verbetering uitvoerbaarheid toeslagen ook de doelmatigheidsgrenzen voor terugvorderingen van</w:t>
      </w:r>
      <w:r w:rsidR="00506A89">
        <w:rPr>
          <w:sz w:val="18"/>
          <w:szCs w:val="18"/>
        </w:rPr>
        <w:t>af het toeslagjaar 2021 verhoogd</w:t>
      </w:r>
      <w:r w:rsidR="00C21841">
        <w:rPr>
          <w:sz w:val="18"/>
          <w:szCs w:val="18"/>
        </w:rPr>
        <w:t>,</w:t>
      </w:r>
      <w:r w:rsidR="00EE029A">
        <w:rPr>
          <w:sz w:val="18"/>
          <w:szCs w:val="18"/>
        </w:rPr>
        <w:t xml:space="preserve"> van € 48 naar € 98. Hierdoor hoeven personen het te veel ontvangen toeslagenvoorschot minder snel terug te betalen. Het aantal relatief kleine terugvorderingen wordt met 380.000 verminderd. Dit leidt tot lagere ontvangsten, die van dekking moeten worden voorzien. Voor de kinderopvangtoeslag gaat het om € 2,4 miljoen en voor het kindgebonden</w:t>
      </w:r>
      <w:r w:rsidR="00E94415">
        <w:rPr>
          <w:sz w:val="18"/>
          <w:szCs w:val="18"/>
        </w:rPr>
        <w:t xml:space="preserve"> </w:t>
      </w:r>
      <w:r w:rsidR="00EE029A">
        <w:rPr>
          <w:sz w:val="18"/>
          <w:szCs w:val="18"/>
        </w:rPr>
        <w:t>budget om € 3,6 miljoen structureel. Het amendement van de leden Snels en Lodders</w:t>
      </w:r>
      <w:r w:rsidR="00EE029A">
        <w:rPr>
          <w:rStyle w:val="Voetnootmarkering"/>
          <w:sz w:val="18"/>
          <w:szCs w:val="18"/>
        </w:rPr>
        <w:footnoteReference w:id="3"/>
      </w:r>
      <w:r w:rsidR="00EE029A">
        <w:rPr>
          <w:sz w:val="18"/>
          <w:szCs w:val="18"/>
        </w:rPr>
        <w:t xml:space="preserve"> heeft dekking voor 2021 geregeld met een maatregel bij de zorgtoeslag. Hierna, zo stelt het amendement, wordt </w:t>
      </w:r>
      <w:r w:rsidR="002A6FAC" w:rsidRPr="002A6FAC">
        <w:rPr>
          <w:sz w:val="18"/>
          <w:szCs w:val="18"/>
        </w:rPr>
        <w:t>de verhoging van de doelmatigheidsgrens</w:t>
      </w:r>
      <w:r w:rsidR="002A6FAC">
        <w:rPr>
          <w:sz w:val="18"/>
          <w:szCs w:val="18"/>
        </w:rPr>
        <w:t xml:space="preserve"> </w:t>
      </w:r>
      <w:r w:rsidR="00EE029A">
        <w:rPr>
          <w:sz w:val="18"/>
          <w:szCs w:val="18"/>
        </w:rPr>
        <w:t>gespreid gedekt over de zorgtoeslag, de huurtoeslag, de kinderopvangtoeslag en het kindgebonden</w:t>
      </w:r>
      <w:r w:rsidR="006B135C">
        <w:rPr>
          <w:sz w:val="18"/>
          <w:szCs w:val="18"/>
        </w:rPr>
        <w:t xml:space="preserve"> </w:t>
      </w:r>
      <w:r w:rsidR="00EE029A">
        <w:rPr>
          <w:sz w:val="18"/>
          <w:szCs w:val="18"/>
        </w:rPr>
        <w:t xml:space="preserve">budget. </w:t>
      </w:r>
      <w:r w:rsidR="00F52F55">
        <w:rPr>
          <w:sz w:val="18"/>
          <w:szCs w:val="18"/>
        </w:rPr>
        <w:t xml:space="preserve">De dekking voor beide toeslagen wordt gevonden binnen de kinderopvangtoeslag. </w:t>
      </w:r>
      <w:r w:rsidR="00EE029A">
        <w:rPr>
          <w:sz w:val="18"/>
          <w:szCs w:val="18"/>
        </w:rPr>
        <w:t xml:space="preserve">De verhoging van de doelmatigheidsgrenzen voor terugvorderingen komt ten goede aan ouders met kinderopvangtoeslag of kindgebonden budget. </w:t>
      </w:r>
    </w:p>
    <w:p w14:paraId="4EEDA249" w14:textId="77777777" w:rsidR="00EE029A" w:rsidRDefault="00EE029A" w:rsidP="004F66E5">
      <w:pPr>
        <w:pStyle w:val="Default"/>
        <w:spacing w:line="240" w:lineRule="atLeast"/>
        <w:rPr>
          <w:sz w:val="18"/>
          <w:szCs w:val="18"/>
        </w:rPr>
      </w:pPr>
    </w:p>
    <w:p w14:paraId="0D77AC74" w14:textId="77777777" w:rsidR="00EE029A" w:rsidRDefault="00EE029A" w:rsidP="004F66E5">
      <w:pPr>
        <w:pStyle w:val="Default"/>
        <w:spacing w:line="240" w:lineRule="atLeast"/>
        <w:rPr>
          <w:sz w:val="18"/>
          <w:szCs w:val="18"/>
        </w:rPr>
      </w:pPr>
      <w:r>
        <w:rPr>
          <w:sz w:val="18"/>
          <w:szCs w:val="18"/>
        </w:rPr>
        <w:t>Er zijn enkele mogelijkheden</w:t>
      </w:r>
      <w:r w:rsidR="00F52F55">
        <w:rPr>
          <w:sz w:val="18"/>
          <w:szCs w:val="18"/>
        </w:rPr>
        <w:t xml:space="preserve"> om de kosten van de genoemde maatregelen van dekking te voorzien in de kinderopvangtoeslag</w:t>
      </w:r>
      <w:r>
        <w:rPr>
          <w:sz w:val="18"/>
          <w:szCs w:val="18"/>
        </w:rPr>
        <w:t xml:space="preserve">. Zo kunnen de uitgaven gedekt worden door de maximum uurprijzen te verlagen </w:t>
      </w:r>
      <w:r w:rsidR="00F52F55">
        <w:rPr>
          <w:sz w:val="18"/>
          <w:szCs w:val="18"/>
        </w:rPr>
        <w:t xml:space="preserve">of </w:t>
      </w:r>
      <w:r>
        <w:rPr>
          <w:sz w:val="18"/>
          <w:szCs w:val="18"/>
        </w:rPr>
        <w:t>door deze niet volledig te indexeren. De maximum uurprijzen verschillen op</w:t>
      </w:r>
      <w:r w:rsidRPr="00540196">
        <w:rPr>
          <w:sz w:val="18"/>
          <w:szCs w:val="18"/>
        </w:rPr>
        <w:t xml:space="preserve"> dit moment </w:t>
      </w:r>
      <w:r>
        <w:rPr>
          <w:sz w:val="18"/>
          <w:szCs w:val="18"/>
        </w:rPr>
        <w:t xml:space="preserve">echter </w:t>
      </w:r>
      <w:r w:rsidRPr="00540196">
        <w:rPr>
          <w:sz w:val="18"/>
          <w:szCs w:val="18"/>
        </w:rPr>
        <w:t xml:space="preserve">al van de daadwerkelijk door ouders betaalde uurprijs. Een </w:t>
      </w:r>
      <w:r w:rsidR="009C6BA7">
        <w:rPr>
          <w:sz w:val="18"/>
          <w:szCs w:val="18"/>
        </w:rPr>
        <w:t xml:space="preserve">groter </w:t>
      </w:r>
      <w:r w:rsidRPr="00540196">
        <w:rPr>
          <w:sz w:val="18"/>
          <w:szCs w:val="18"/>
        </w:rPr>
        <w:t>verschil tussen</w:t>
      </w:r>
      <w:r>
        <w:rPr>
          <w:sz w:val="18"/>
          <w:szCs w:val="18"/>
        </w:rPr>
        <w:t xml:space="preserve"> de</w:t>
      </w:r>
      <w:r w:rsidRPr="00540196">
        <w:rPr>
          <w:sz w:val="18"/>
          <w:szCs w:val="18"/>
        </w:rPr>
        <w:t xml:space="preserve"> maximum uurprijs en</w:t>
      </w:r>
      <w:r>
        <w:rPr>
          <w:sz w:val="18"/>
          <w:szCs w:val="18"/>
        </w:rPr>
        <w:t xml:space="preserve"> de</w:t>
      </w:r>
      <w:r w:rsidRPr="00540196">
        <w:rPr>
          <w:sz w:val="18"/>
          <w:szCs w:val="18"/>
        </w:rPr>
        <w:t xml:space="preserve"> daadwerkelijke uurprijs </w:t>
      </w:r>
      <w:r w:rsidR="00D740C2">
        <w:rPr>
          <w:sz w:val="18"/>
          <w:szCs w:val="18"/>
        </w:rPr>
        <w:t xml:space="preserve">kan </w:t>
      </w:r>
      <w:r>
        <w:rPr>
          <w:sz w:val="18"/>
          <w:szCs w:val="18"/>
        </w:rPr>
        <w:t>de financiële toegankelijkheid van de kinderopvang voor met name lage inkomens onder druk</w:t>
      </w:r>
      <w:r w:rsidR="00D740C2">
        <w:rPr>
          <w:sz w:val="18"/>
          <w:szCs w:val="18"/>
        </w:rPr>
        <w:t xml:space="preserve"> zetten</w:t>
      </w:r>
      <w:r>
        <w:rPr>
          <w:sz w:val="18"/>
          <w:szCs w:val="18"/>
        </w:rPr>
        <w:t>. Een andere mogelijkheid om de structurele uitgaven te dekken is door d</w:t>
      </w:r>
      <w:r w:rsidRPr="00540196">
        <w:rPr>
          <w:sz w:val="18"/>
          <w:szCs w:val="18"/>
        </w:rPr>
        <w:t xml:space="preserve">e toetsingsinkomensgrenzen te verlagen </w:t>
      </w:r>
      <w:r w:rsidR="009C6BA7">
        <w:rPr>
          <w:sz w:val="18"/>
          <w:szCs w:val="18"/>
        </w:rPr>
        <w:t xml:space="preserve">of </w:t>
      </w:r>
      <w:r w:rsidRPr="00540196">
        <w:rPr>
          <w:sz w:val="18"/>
          <w:szCs w:val="18"/>
        </w:rPr>
        <w:t>door deze minder te indexeren.</w:t>
      </w:r>
      <w:r>
        <w:rPr>
          <w:sz w:val="18"/>
          <w:szCs w:val="18"/>
        </w:rPr>
        <w:t xml:space="preserve"> De </w:t>
      </w:r>
      <w:r w:rsidRPr="00540196">
        <w:rPr>
          <w:sz w:val="18"/>
          <w:szCs w:val="18"/>
        </w:rPr>
        <w:t>inkomenseffecten</w:t>
      </w:r>
      <w:r>
        <w:rPr>
          <w:sz w:val="18"/>
          <w:szCs w:val="18"/>
        </w:rPr>
        <w:t xml:space="preserve"> hiervan kunnen</w:t>
      </w:r>
      <w:r w:rsidRPr="00540196">
        <w:rPr>
          <w:sz w:val="18"/>
          <w:szCs w:val="18"/>
        </w:rPr>
        <w:t xml:space="preserve"> </w:t>
      </w:r>
      <w:r>
        <w:rPr>
          <w:sz w:val="18"/>
          <w:szCs w:val="18"/>
        </w:rPr>
        <w:t xml:space="preserve">echter </w:t>
      </w:r>
      <w:r w:rsidRPr="00540196">
        <w:rPr>
          <w:sz w:val="18"/>
          <w:szCs w:val="18"/>
        </w:rPr>
        <w:t xml:space="preserve">minder evenredig verdeeld </w:t>
      </w:r>
      <w:r>
        <w:rPr>
          <w:sz w:val="18"/>
          <w:szCs w:val="18"/>
        </w:rPr>
        <w:t>worden</w:t>
      </w:r>
      <w:r w:rsidRPr="00540196">
        <w:rPr>
          <w:sz w:val="18"/>
          <w:szCs w:val="18"/>
        </w:rPr>
        <w:t xml:space="preserve"> en</w:t>
      </w:r>
      <w:r>
        <w:rPr>
          <w:sz w:val="18"/>
          <w:szCs w:val="18"/>
        </w:rPr>
        <w:t xml:space="preserve"> komen</w:t>
      </w:r>
      <w:r w:rsidRPr="00540196">
        <w:rPr>
          <w:sz w:val="18"/>
          <w:szCs w:val="18"/>
        </w:rPr>
        <w:t xml:space="preserve"> vooral bij de midde</w:t>
      </w:r>
      <w:r>
        <w:rPr>
          <w:sz w:val="18"/>
          <w:szCs w:val="18"/>
        </w:rPr>
        <w:t>n- en hoge inkomens terecht</w:t>
      </w:r>
      <w:r w:rsidRPr="00540196">
        <w:rPr>
          <w:sz w:val="18"/>
          <w:szCs w:val="18"/>
        </w:rPr>
        <w:t>.</w:t>
      </w:r>
      <w:r>
        <w:rPr>
          <w:sz w:val="18"/>
          <w:szCs w:val="18"/>
        </w:rPr>
        <w:t xml:space="preserve"> Daarom is ervoor gekozen om de uitgaven te dekken door </w:t>
      </w:r>
      <w:r w:rsidRPr="00430C4C">
        <w:rPr>
          <w:sz w:val="18"/>
          <w:szCs w:val="18"/>
        </w:rPr>
        <w:t xml:space="preserve">het verlagen van de toeslagpercentages. </w:t>
      </w:r>
      <w:r w:rsidR="009C6BA7">
        <w:rPr>
          <w:sz w:val="18"/>
          <w:szCs w:val="18"/>
        </w:rPr>
        <w:t xml:space="preserve">Hierdoor zijn de inkomenseffecten evenrediger verdeeld over de inkomensgroepen. </w:t>
      </w:r>
    </w:p>
    <w:p w14:paraId="431FA120" w14:textId="77777777" w:rsidR="00EE029A" w:rsidRDefault="00EE029A" w:rsidP="004F66E5">
      <w:pPr>
        <w:pStyle w:val="Default"/>
        <w:spacing w:line="240" w:lineRule="atLeast"/>
        <w:rPr>
          <w:sz w:val="18"/>
          <w:szCs w:val="18"/>
        </w:rPr>
      </w:pPr>
    </w:p>
    <w:p w14:paraId="2F75314D" w14:textId="77777777" w:rsidR="00EE029A" w:rsidRDefault="000B000C" w:rsidP="004F66E5">
      <w:pPr>
        <w:pStyle w:val="Default"/>
        <w:spacing w:line="240" w:lineRule="atLeast"/>
        <w:rPr>
          <w:sz w:val="18"/>
          <w:szCs w:val="18"/>
        </w:rPr>
      </w:pPr>
      <w:r w:rsidRPr="000B000C">
        <w:rPr>
          <w:sz w:val="18"/>
          <w:szCs w:val="18"/>
        </w:rPr>
        <w:t xml:space="preserve">Deze maatregelen leiden op de SZW-begroting structureel tot meerkosten van € 27,5 miljoen. Als dekking voor deze meeruitgaven stelt het </w:t>
      </w:r>
      <w:r w:rsidR="00C21841">
        <w:rPr>
          <w:sz w:val="18"/>
          <w:szCs w:val="18"/>
        </w:rPr>
        <w:t>k</w:t>
      </w:r>
      <w:r w:rsidRPr="000B000C">
        <w:rPr>
          <w:sz w:val="18"/>
          <w:szCs w:val="18"/>
        </w:rPr>
        <w:t>abinet in het onderhavige besluit voor om de toeslagpercentages te verlagen</w:t>
      </w:r>
      <w:r w:rsidR="00C21841">
        <w:rPr>
          <w:sz w:val="18"/>
          <w:szCs w:val="18"/>
        </w:rPr>
        <w:t>,</w:t>
      </w:r>
      <w:r w:rsidRPr="000B000C">
        <w:rPr>
          <w:sz w:val="18"/>
          <w:szCs w:val="18"/>
        </w:rPr>
        <w:t xml:space="preserve"> waardoor de eigen bijdrage per uur kinderopvang voor alle inkomens vanaf € </w:t>
      </w:r>
      <w:r w:rsidR="00743303">
        <w:rPr>
          <w:sz w:val="18"/>
          <w:szCs w:val="18"/>
        </w:rPr>
        <w:t>26.067</w:t>
      </w:r>
      <w:r w:rsidRPr="000B000C">
        <w:rPr>
          <w:sz w:val="18"/>
          <w:szCs w:val="18"/>
        </w:rPr>
        <w:t xml:space="preserve"> evenredig wordt verhoogd met 1,5</w:t>
      </w:r>
      <w:r w:rsidR="00E64B3A">
        <w:rPr>
          <w:sz w:val="18"/>
          <w:szCs w:val="18"/>
        </w:rPr>
        <w:t>1</w:t>
      </w:r>
      <w:r w:rsidRPr="000B000C">
        <w:rPr>
          <w:sz w:val="18"/>
          <w:szCs w:val="18"/>
        </w:rPr>
        <w:t>%. Het toeslagpercentage voor de laagste inkomens blijft gelijk (96,0%) en de vaste voet voor het eerste kind van 33,3% is uitgezonderd van de maatregel.</w:t>
      </w:r>
    </w:p>
    <w:p w14:paraId="3DF1274C" w14:textId="77777777" w:rsidR="000B000C" w:rsidRDefault="000B000C" w:rsidP="004F66E5">
      <w:pPr>
        <w:pStyle w:val="Default"/>
        <w:spacing w:line="240" w:lineRule="atLeast"/>
        <w:rPr>
          <w:i/>
          <w:sz w:val="18"/>
          <w:szCs w:val="18"/>
        </w:rPr>
      </w:pPr>
    </w:p>
    <w:p w14:paraId="677D5DA8" w14:textId="77777777" w:rsidR="00590ACF" w:rsidRDefault="002F5279" w:rsidP="004F66E5">
      <w:pPr>
        <w:pStyle w:val="Default"/>
        <w:spacing w:line="240" w:lineRule="atLeast"/>
        <w:rPr>
          <w:i/>
          <w:sz w:val="18"/>
          <w:szCs w:val="18"/>
        </w:rPr>
      </w:pPr>
      <w:r>
        <w:rPr>
          <w:i/>
          <w:sz w:val="18"/>
          <w:szCs w:val="18"/>
        </w:rPr>
        <w:t>2</w:t>
      </w:r>
      <w:r w:rsidR="00475830">
        <w:rPr>
          <w:i/>
          <w:sz w:val="18"/>
          <w:szCs w:val="18"/>
        </w:rPr>
        <w:t>.2</w:t>
      </w:r>
      <w:r w:rsidR="00590ACF">
        <w:rPr>
          <w:i/>
          <w:sz w:val="18"/>
          <w:szCs w:val="18"/>
        </w:rPr>
        <w:t xml:space="preserve"> Indexering maximum uurprijzen kinderopvangtoeslag</w:t>
      </w:r>
    </w:p>
    <w:p w14:paraId="4F7EE812" w14:textId="77777777" w:rsidR="00F02B23" w:rsidRDefault="00590ACF" w:rsidP="004F66E5">
      <w:pPr>
        <w:pStyle w:val="Default"/>
        <w:spacing w:line="240" w:lineRule="atLeast"/>
        <w:rPr>
          <w:sz w:val="18"/>
          <w:szCs w:val="18"/>
        </w:rPr>
      </w:pPr>
      <w:r>
        <w:rPr>
          <w:sz w:val="18"/>
          <w:szCs w:val="18"/>
        </w:rPr>
        <w:t>Jaarlijks worden de maximum uurprijzen van de kinderopvangtoeslag met ingang van 1 januari geïndexeerd. De indexatie is een gewogen gemiddelde van de ontwikkelin</w:t>
      </w:r>
      <w:r w:rsidR="00576CAD">
        <w:rPr>
          <w:sz w:val="18"/>
          <w:szCs w:val="18"/>
        </w:rPr>
        <w:t>g van de loonvoet bedrijven (80</w:t>
      </w:r>
      <w:r w:rsidR="00F37AF0">
        <w:rPr>
          <w:sz w:val="18"/>
          <w:szCs w:val="18"/>
        </w:rPr>
        <w:t>%</w:t>
      </w:r>
      <w:r>
        <w:rPr>
          <w:sz w:val="18"/>
          <w:szCs w:val="18"/>
        </w:rPr>
        <w:t>) en de ontwikkeling v</w:t>
      </w:r>
      <w:r w:rsidR="00F37AF0">
        <w:rPr>
          <w:sz w:val="18"/>
          <w:szCs w:val="18"/>
        </w:rPr>
        <w:t>an de consumentenprijsindex (20%</w:t>
      </w:r>
      <w:r>
        <w:rPr>
          <w:sz w:val="18"/>
          <w:szCs w:val="18"/>
        </w:rPr>
        <w:t>).</w:t>
      </w:r>
      <w:r w:rsidR="00E42E9F">
        <w:rPr>
          <w:sz w:val="18"/>
          <w:szCs w:val="18"/>
        </w:rPr>
        <w:t xml:space="preserve"> </w:t>
      </w:r>
    </w:p>
    <w:p w14:paraId="5299E5E9" w14:textId="77777777" w:rsidR="00F02B23" w:rsidRDefault="00F02B23" w:rsidP="004F66E5">
      <w:pPr>
        <w:pStyle w:val="Default"/>
        <w:spacing w:line="240" w:lineRule="atLeast"/>
        <w:rPr>
          <w:sz w:val="18"/>
          <w:szCs w:val="18"/>
        </w:rPr>
      </w:pPr>
    </w:p>
    <w:p w14:paraId="751600A5" w14:textId="5A578D23" w:rsidR="00D35348" w:rsidRDefault="00661DD9" w:rsidP="004F66E5">
      <w:pPr>
        <w:autoSpaceDN/>
      </w:pPr>
      <w:r>
        <w:t>De loonvoet bedrijven is in 2020 hoger uitgekomen als gevolg van het effect van de tijdelijke noodmaatregelen overbrugging voor behoud van werkgelegenheid</w:t>
      </w:r>
      <w:r w:rsidR="00A537F1">
        <w:t xml:space="preserve"> (NOW)</w:t>
      </w:r>
      <w:r>
        <w:rPr>
          <w:rStyle w:val="Voetnootmarkering"/>
        </w:rPr>
        <w:footnoteReference w:id="4"/>
      </w:r>
      <w:r>
        <w:t xml:space="preserve"> en de continuïteitsbijdrage in de zorg op de gewerkte uren.</w:t>
      </w:r>
      <w:r>
        <w:rPr>
          <w:rFonts w:ascii="Times New Roman" w:hAnsi="Times New Roman" w:cs="Times New Roman"/>
          <w:color w:val="auto"/>
          <w:sz w:val="24"/>
          <w:szCs w:val="24"/>
        </w:rPr>
        <w:t xml:space="preserve"> </w:t>
      </w:r>
      <w:r w:rsidR="00F51F40">
        <w:t>De gewerkte uren kwamen door de coronamaatregelen lager uit, maar de loonkosten wijzigden vrijwel niet (door de loonkostensubsidie konden werknemers die minder werkten in dienst worden gehouden).</w:t>
      </w:r>
      <w:r w:rsidR="00E42E9F">
        <w:t xml:space="preserve"> </w:t>
      </w:r>
      <w:r w:rsidR="00F51F40">
        <w:t>I</w:t>
      </w:r>
      <w:r w:rsidR="00E42E9F">
        <w:t>n 2021 en 2022 komt de loonvoet</w:t>
      </w:r>
      <w:r w:rsidR="00F51F40">
        <w:t xml:space="preserve"> </w:t>
      </w:r>
      <w:r w:rsidR="00E42E9F">
        <w:t>bedrijven</w:t>
      </w:r>
      <w:r w:rsidR="00F51F40">
        <w:t>, met de afbouw van de coronamaatregelen en de loonkostensubsidie, naar verwachting</w:t>
      </w:r>
      <w:r w:rsidR="00E42E9F">
        <w:t xml:space="preserve"> </w:t>
      </w:r>
      <w:r w:rsidR="00AC04D9">
        <w:t xml:space="preserve">juist </w:t>
      </w:r>
      <w:r w:rsidR="00E42E9F">
        <w:t>lager uit</w:t>
      </w:r>
      <w:r w:rsidR="00AC04D9">
        <w:t>.</w:t>
      </w:r>
      <w:r w:rsidR="00AC04D9">
        <w:rPr>
          <w:rStyle w:val="Voetnootmarkering"/>
        </w:rPr>
        <w:footnoteReference w:id="5"/>
      </w:r>
      <w:r w:rsidR="00AC04D9">
        <w:t xml:space="preserve"> </w:t>
      </w:r>
      <w:r w:rsidR="00E42E9F" w:rsidRPr="00E42E9F">
        <w:t>Dit effect liep niet mee in de reguliere indexatie voor 2020 en 2021</w:t>
      </w:r>
      <w:r w:rsidR="00AC04D9">
        <w:t>: deze maatregelen waren ten tijde van</w:t>
      </w:r>
      <w:r w:rsidR="001F7A25">
        <w:t xml:space="preserve"> het</w:t>
      </w:r>
      <w:r w:rsidR="00AC04D9">
        <w:t xml:space="preserve"> CEP 2020 </w:t>
      </w:r>
      <w:r w:rsidR="00F51F40">
        <w:t xml:space="preserve">immers </w:t>
      </w:r>
      <w:r w:rsidR="00AC04D9">
        <w:t xml:space="preserve">nog niet bekend. Het effect is </w:t>
      </w:r>
      <w:r w:rsidR="00F02B23">
        <w:t xml:space="preserve">bovendien </w:t>
      </w:r>
      <w:r w:rsidR="00AC04D9">
        <w:t>tijdelijk</w:t>
      </w:r>
      <w:r w:rsidR="00E42E9F" w:rsidRPr="00E42E9F">
        <w:t xml:space="preserve"> en dient ook voor 2022 niet mee te lopen</w:t>
      </w:r>
      <w:r w:rsidR="00F02B23">
        <w:t xml:space="preserve"> in de indexatie</w:t>
      </w:r>
      <w:r w:rsidR="00E42E9F" w:rsidRPr="00E42E9F">
        <w:t>, om te voorkomen dat de</w:t>
      </w:r>
      <w:r w:rsidR="00F02B23">
        <w:t xml:space="preserve"> maximum uurprijzen na</w:t>
      </w:r>
      <w:r w:rsidR="00E42E9F" w:rsidRPr="00E42E9F">
        <w:t xml:space="preserve"> indexatie </w:t>
      </w:r>
      <w:r w:rsidR="009C6BA7" w:rsidRPr="00E42E9F">
        <w:t>onbe</w:t>
      </w:r>
      <w:r w:rsidR="009C6BA7">
        <w:t>doel</w:t>
      </w:r>
      <w:r w:rsidR="009C6BA7" w:rsidRPr="00E42E9F">
        <w:t xml:space="preserve">d </w:t>
      </w:r>
      <w:r w:rsidR="00F02B23">
        <w:t xml:space="preserve">structureel </w:t>
      </w:r>
      <w:r w:rsidR="00E42E9F" w:rsidRPr="00E42E9F">
        <w:t>te laag uitkom</w:t>
      </w:r>
      <w:r w:rsidR="00F02B23">
        <w:t>en (de werkelijke loonkosten zijn immers niet gewijzigd)</w:t>
      </w:r>
      <w:r w:rsidR="00E42E9F" w:rsidRPr="00E42E9F">
        <w:t>.</w:t>
      </w:r>
      <w:r w:rsidR="00385D37">
        <w:t xml:space="preserve"> D</w:t>
      </w:r>
      <w:r w:rsidR="00A537F1">
        <w:t>it onbedoelde effect van de NOW zou tevens</w:t>
      </w:r>
      <w:r w:rsidR="00385D37">
        <w:t xml:space="preserve"> ongunstig zijn voor ouders di</w:t>
      </w:r>
      <w:r w:rsidR="00F4635D">
        <w:t>e kinderopvangtoeslag aanvragen, omdat de maximum uurprijzen dan verlaagd zouden worden.</w:t>
      </w:r>
      <w:r w:rsidR="00AC04D9">
        <w:t xml:space="preserve"> </w:t>
      </w:r>
    </w:p>
    <w:p w14:paraId="6823B472" w14:textId="77777777" w:rsidR="00D35348" w:rsidRDefault="00D35348" w:rsidP="004F66E5">
      <w:pPr>
        <w:autoSpaceDN/>
      </w:pPr>
    </w:p>
    <w:p w14:paraId="3CCE7904" w14:textId="7A242293" w:rsidR="00AC04D9" w:rsidRPr="00D35348" w:rsidRDefault="00D0163B" w:rsidP="004F66E5">
      <w:pPr>
        <w:autoSpaceDN/>
        <w:rPr>
          <w:rFonts w:ascii="Times New Roman" w:hAnsi="Times New Roman" w:cs="Times New Roman"/>
          <w:color w:val="auto"/>
          <w:sz w:val="24"/>
          <w:szCs w:val="24"/>
        </w:rPr>
      </w:pPr>
      <w:r>
        <w:t>Vanwege dit onbedoelde effect</w:t>
      </w:r>
      <w:r w:rsidR="00AC04D9">
        <w:t xml:space="preserve"> is in de indexatie het </w:t>
      </w:r>
      <w:r w:rsidR="00F51F40">
        <w:t xml:space="preserve">neerwaartse </w:t>
      </w:r>
      <w:r w:rsidR="00AC04D9">
        <w:t xml:space="preserve">effect van de </w:t>
      </w:r>
      <w:r w:rsidR="00AC04D9" w:rsidRPr="00E42E9F">
        <w:t>loonkostensubsidie NOW en de continuïteitsbijdrage in de zorg</w:t>
      </w:r>
      <w:r w:rsidR="00F51F40">
        <w:t xml:space="preserve"> in 2021 en 2022</w:t>
      </w:r>
      <w:r w:rsidR="00AC04D9">
        <w:t xml:space="preserve">, </w:t>
      </w:r>
      <w:r w:rsidR="00AC04D9" w:rsidRPr="00E42E9F">
        <w:t xml:space="preserve">zoals uitgesplitst in voetnoot </w:t>
      </w:r>
      <w:r w:rsidR="00AC04D9" w:rsidRPr="00AC04D9">
        <w:rPr>
          <w:i/>
        </w:rPr>
        <w:t>d</w:t>
      </w:r>
      <w:r w:rsidR="00AC04D9" w:rsidRPr="00E42E9F">
        <w:t xml:space="preserve"> bij Tabel 1.1 in het CEP 2021, buiten beschouwing gelaten</w:t>
      </w:r>
      <w:r w:rsidR="00DA7520">
        <w:t>.</w:t>
      </w:r>
      <w:r w:rsidR="00385D37">
        <w:t xml:space="preserve"> </w:t>
      </w:r>
      <w:r w:rsidR="00DA7520">
        <w:t>Hier</w:t>
      </w:r>
      <w:r w:rsidR="00385D37">
        <w:t xml:space="preserve">door </w:t>
      </w:r>
      <w:r w:rsidR="00DA7520">
        <w:t xml:space="preserve">worden </w:t>
      </w:r>
      <w:r w:rsidR="00385D37">
        <w:t xml:space="preserve">de maximum uurprijzen </w:t>
      </w:r>
      <w:r w:rsidR="0088007B">
        <w:t>verhoogd</w:t>
      </w:r>
      <w:r w:rsidR="00DA7520">
        <w:t>,</w:t>
      </w:r>
      <w:r w:rsidR="0088007B">
        <w:t xml:space="preserve"> </w:t>
      </w:r>
      <w:r w:rsidR="00947869">
        <w:t>wat gunstig is voor ouders die kinderopvangtoeslag aanvragen.</w:t>
      </w:r>
      <w:r w:rsidR="00662D68">
        <w:rPr>
          <w:rStyle w:val="Voetnootmarkering"/>
        </w:rPr>
        <w:footnoteReference w:id="6"/>
      </w:r>
      <w:r w:rsidR="00590ACF">
        <w:t xml:space="preserve"> </w:t>
      </w:r>
      <w:r w:rsidR="00662D68">
        <w:t xml:space="preserve">De </w:t>
      </w:r>
      <w:r w:rsidR="00F02B23">
        <w:t>cijfers</w:t>
      </w:r>
      <w:r w:rsidR="00662D68">
        <w:t xml:space="preserve"> in de volgende alinea</w:t>
      </w:r>
      <w:r w:rsidR="00F02B23">
        <w:t xml:space="preserve"> geven de onderliggende ontwikkelingen weer </w:t>
      </w:r>
      <w:r w:rsidR="00662D68">
        <w:t xml:space="preserve">waarbij </w:t>
      </w:r>
      <w:r w:rsidR="00F02B23">
        <w:t>het bovenstaande tijdelijk effect</w:t>
      </w:r>
      <w:r w:rsidR="00662D68">
        <w:t xml:space="preserve"> buiten beschouwing is gelaten</w:t>
      </w:r>
      <w:r w:rsidR="00F02B23">
        <w:t>.</w:t>
      </w:r>
    </w:p>
    <w:p w14:paraId="5805751B" w14:textId="77777777" w:rsidR="00AC04D9" w:rsidRDefault="00AC04D9" w:rsidP="004F66E5">
      <w:pPr>
        <w:pStyle w:val="Default"/>
        <w:spacing w:line="240" w:lineRule="atLeast"/>
        <w:rPr>
          <w:sz w:val="18"/>
          <w:szCs w:val="18"/>
        </w:rPr>
      </w:pPr>
    </w:p>
    <w:p w14:paraId="646A60CD" w14:textId="76D75DB3" w:rsidR="00590ACF" w:rsidRDefault="00590ACF" w:rsidP="004F66E5">
      <w:pPr>
        <w:pStyle w:val="Default"/>
        <w:spacing w:line="240" w:lineRule="atLeast"/>
        <w:rPr>
          <w:sz w:val="18"/>
          <w:szCs w:val="18"/>
        </w:rPr>
      </w:pPr>
      <w:r>
        <w:rPr>
          <w:sz w:val="18"/>
          <w:szCs w:val="18"/>
        </w:rPr>
        <w:t>De indexering voor 2022 is gebaseerd op een correctie van de indexering in 2021 (</w:t>
      </w:r>
      <w:r w:rsidR="007E23E8">
        <w:rPr>
          <w:sz w:val="18"/>
          <w:szCs w:val="18"/>
        </w:rPr>
        <w:noBreakHyphen/>
      </w:r>
      <w:r w:rsidR="006D41E5">
        <w:rPr>
          <w:sz w:val="18"/>
          <w:szCs w:val="18"/>
        </w:rPr>
        <w:t>0,99</w:t>
      </w:r>
      <w:r w:rsidR="00F37AF0">
        <w:rPr>
          <w:sz w:val="18"/>
          <w:szCs w:val="18"/>
        </w:rPr>
        <w:t>%</w:t>
      </w:r>
      <w:r>
        <w:rPr>
          <w:sz w:val="18"/>
          <w:szCs w:val="18"/>
        </w:rPr>
        <w:t>) doordat de verwachte loon- en prijsontwikkeling voor dat jaar</w:t>
      </w:r>
      <w:r w:rsidR="009C6BA7">
        <w:rPr>
          <w:sz w:val="18"/>
          <w:szCs w:val="18"/>
        </w:rPr>
        <w:t xml:space="preserve"> neerwaarts</w:t>
      </w:r>
      <w:r>
        <w:rPr>
          <w:sz w:val="18"/>
          <w:szCs w:val="18"/>
        </w:rPr>
        <w:t xml:space="preserve"> naar </w:t>
      </w:r>
      <w:r w:rsidR="006D41E5">
        <w:rPr>
          <w:sz w:val="18"/>
          <w:szCs w:val="18"/>
        </w:rPr>
        <w:t xml:space="preserve">1,98% </w:t>
      </w:r>
      <w:r>
        <w:rPr>
          <w:sz w:val="18"/>
          <w:szCs w:val="18"/>
        </w:rPr>
        <w:t>is bijgesteld en de loon- en prijsontwikkeling voor 2022 (</w:t>
      </w:r>
      <w:r w:rsidR="006D41E5">
        <w:rPr>
          <w:sz w:val="18"/>
          <w:szCs w:val="18"/>
        </w:rPr>
        <w:t>1,50</w:t>
      </w:r>
      <w:r w:rsidR="00F37AF0">
        <w:rPr>
          <w:sz w:val="18"/>
          <w:szCs w:val="18"/>
        </w:rPr>
        <w:t>%</w:t>
      </w:r>
      <w:r>
        <w:rPr>
          <w:sz w:val="18"/>
          <w:szCs w:val="18"/>
        </w:rPr>
        <w:t>).</w:t>
      </w:r>
      <w:r w:rsidR="00766358" w:rsidRPr="00766358">
        <w:rPr>
          <w:sz w:val="18"/>
          <w:szCs w:val="18"/>
          <w:vertAlign w:val="superscript"/>
        </w:rPr>
        <w:footnoteReference w:id="7"/>
      </w:r>
      <w:r>
        <w:rPr>
          <w:sz w:val="18"/>
          <w:szCs w:val="18"/>
        </w:rPr>
        <w:t xml:space="preserve"> Dit betekent dat de maximum uurprijzen worden</w:t>
      </w:r>
      <w:r w:rsidR="00576CAD">
        <w:rPr>
          <w:sz w:val="18"/>
          <w:szCs w:val="18"/>
        </w:rPr>
        <w:t xml:space="preserve"> aangepast</w:t>
      </w:r>
      <w:r>
        <w:rPr>
          <w:sz w:val="18"/>
          <w:szCs w:val="18"/>
        </w:rPr>
        <w:t xml:space="preserve"> met </w:t>
      </w:r>
      <w:r w:rsidR="006D41E5">
        <w:rPr>
          <w:sz w:val="18"/>
          <w:szCs w:val="18"/>
        </w:rPr>
        <w:t>0,51</w:t>
      </w:r>
      <w:r w:rsidR="00F37AF0">
        <w:rPr>
          <w:sz w:val="18"/>
          <w:szCs w:val="18"/>
        </w:rPr>
        <w:t>%</w:t>
      </w:r>
      <w:r w:rsidR="00E9337E">
        <w:rPr>
          <w:sz w:val="18"/>
          <w:szCs w:val="18"/>
        </w:rPr>
        <w:t xml:space="preserve"> </w:t>
      </w:r>
      <w:r>
        <w:rPr>
          <w:sz w:val="18"/>
          <w:szCs w:val="18"/>
        </w:rPr>
        <w:t xml:space="preserve">als gevolg van de indexering. In tabel 1 is te zien tot welke maximum uurprijzen dit leidt. </w:t>
      </w:r>
    </w:p>
    <w:p w14:paraId="60108A10" w14:textId="77777777" w:rsidR="00590ACF" w:rsidRDefault="00590ACF" w:rsidP="004F66E5">
      <w:pPr>
        <w:pStyle w:val="Default"/>
        <w:spacing w:line="240" w:lineRule="atLeast"/>
        <w:rPr>
          <w:sz w:val="18"/>
          <w:szCs w:val="18"/>
        </w:rPr>
      </w:pPr>
    </w:p>
    <w:tbl>
      <w:tblPr>
        <w:tblStyle w:val="Standaardtabelmetlijn"/>
        <w:tblW w:w="0" w:type="auto"/>
        <w:tblInd w:w="-98" w:type="dxa"/>
        <w:tblLook w:val="04A0" w:firstRow="1" w:lastRow="0" w:firstColumn="1" w:lastColumn="0" w:noHBand="0" w:noVBand="1"/>
      </w:tblPr>
      <w:tblGrid>
        <w:gridCol w:w="3794"/>
        <w:gridCol w:w="1268"/>
        <w:gridCol w:w="1228"/>
      </w:tblGrid>
      <w:tr w:rsidR="00590ACF" w14:paraId="4E047D07" w14:textId="77777777" w:rsidTr="00590ACF">
        <w:tc>
          <w:tcPr>
            <w:tcW w:w="0" w:type="auto"/>
            <w:gridSpan w:val="3"/>
            <w:tcBorders>
              <w:top w:val="single" w:sz="8" w:space="0" w:color="000000"/>
              <w:left w:val="single" w:sz="8" w:space="0" w:color="000000"/>
              <w:bottom w:val="single" w:sz="8" w:space="0" w:color="000000"/>
              <w:right w:val="single" w:sz="8" w:space="0" w:color="000000"/>
            </w:tcBorders>
            <w:hideMark/>
          </w:tcPr>
          <w:p w14:paraId="758D6FBC" w14:textId="77777777" w:rsidR="00590ACF" w:rsidRDefault="00590ACF" w:rsidP="004F66E5">
            <w:pPr>
              <w:jc w:val="center"/>
              <w:rPr>
                <w:b/>
                <w:bCs/>
              </w:rPr>
            </w:pPr>
            <w:r>
              <w:rPr>
                <w:b/>
                <w:bCs/>
              </w:rPr>
              <w:t>Tabel 1. Maximum uurprijs voor verschillende soorten opvang</w:t>
            </w:r>
          </w:p>
        </w:tc>
      </w:tr>
      <w:tr w:rsidR="00590ACF" w14:paraId="7D29C36C" w14:textId="77777777" w:rsidTr="00590ACF">
        <w:tc>
          <w:tcPr>
            <w:tcW w:w="3794" w:type="dxa"/>
            <w:tcBorders>
              <w:top w:val="single" w:sz="8" w:space="0" w:color="000000"/>
              <w:left w:val="single" w:sz="8" w:space="0" w:color="000000"/>
              <w:bottom w:val="single" w:sz="8" w:space="0" w:color="000000"/>
              <w:right w:val="single" w:sz="8" w:space="0" w:color="000000"/>
            </w:tcBorders>
            <w:hideMark/>
          </w:tcPr>
          <w:p w14:paraId="1D3D4798" w14:textId="77777777" w:rsidR="00590ACF" w:rsidRDefault="00590ACF" w:rsidP="004F66E5">
            <w:pPr>
              <w:spacing w:before="100" w:beforeAutospacing="1" w:after="100" w:afterAutospacing="1"/>
              <w:rPr>
                <w:b/>
                <w:bCs/>
              </w:rPr>
            </w:pPr>
            <w:r>
              <w:rPr>
                <w:b/>
                <w:bCs/>
              </w:rPr>
              <w:t>Maximum uurprijs</w:t>
            </w:r>
          </w:p>
        </w:tc>
        <w:tc>
          <w:tcPr>
            <w:tcW w:w="1268" w:type="dxa"/>
            <w:tcBorders>
              <w:top w:val="single" w:sz="8" w:space="0" w:color="000000"/>
              <w:left w:val="single" w:sz="8" w:space="0" w:color="000000"/>
              <w:bottom w:val="single" w:sz="8" w:space="0" w:color="000000"/>
              <w:right w:val="single" w:sz="8" w:space="0" w:color="000000"/>
            </w:tcBorders>
            <w:hideMark/>
          </w:tcPr>
          <w:p w14:paraId="52F041B9" w14:textId="77777777" w:rsidR="00590ACF" w:rsidRDefault="00590ACF" w:rsidP="004F66E5">
            <w:pPr>
              <w:spacing w:before="100" w:beforeAutospacing="1" w:after="100" w:afterAutospacing="1"/>
              <w:jc w:val="center"/>
              <w:rPr>
                <w:b/>
                <w:bCs/>
              </w:rPr>
            </w:pPr>
            <w:r>
              <w:rPr>
                <w:b/>
                <w:bCs/>
              </w:rPr>
              <w:t>2021</w:t>
            </w:r>
          </w:p>
        </w:tc>
        <w:tc>
          <w:tcPr>
            <w:tcW w:w="1228" w:type="dxa"/>
            <w:tcBorders>
              <w:top w:val="single" w:sz="8" w:space="0" w:color="000000"/>
              <w:left w:val="single" w:sz="8" w:space="0" w:color="000000"/>
              <w:bottom w:val="single" w:sz="8" w:space="0" w:color="000000"/>
              <w:right w:val="single" w:sz="8" w:space="0" w:color="000000"/>
            </w:tcBorders>
            <w:hideMark/>
          </w:tcPr>
          <w:p w14:paraId="66163630" w14:textId="77777777" w:rsidR="00590ACF" w:rsidRDefault="00590ACF" w:rsidP="004F66E5">
            <w:pPr>
              <w:spacing w:before="100" w:beforeAutospacing="1" w:after="100" w:afterAutospacing="1"/>
              <w:jc w:val="center"/>
              <w:rPr>
                <w:b/>
                <w:bCs/>
              </w:rPr>
            </w:pPr>
            <w:r>
              <w:rPr>
                <w:b/>
                <w:bCs/>
              </w:rPr>
              <w:t>2022</w:t>
            </w:r>
          </w:p>
        </w:tc>
      </w:tr>
      <w:tr w:rsidR="00590ACF" w14:paraId="7E5F1854" w14:textId="77777777" w:rsidTr="00590ACF">
        <w:tc>
          <w:tcPr>
            <w:tcW w:w="3794" w:type="dxa"/>
            <w:tcBorders>
              <w:top w:val="single" w:sz="8" w:space="0" w:color="000000"/>
              <w:left w:val="single" w:sz="8" w:space="0" w:color="000000"/>
              <w:bottom w:val="single" w:sz="8" w:space="0" w:color="000000"/>
              <w:right w:val="single" w:sz="8" w:space="0" w:color="000000"/>
            </w:tcBorders>
            <w:hideMark/>
          </w:tcPr>
          <w:p w14:paraId="463B0D54" w14:textId="77777777" w:rsidR="00590ACF" w:rsidRDefault="00590ACF" w:rsidP="004F66E5">
            <w:pPr>
              <w:spacing w:before="100" w:beforeAutospacing="1" w:after="100" w:afterAutospacing="1"/>
              <w:rPr>
                <w:bCs/>
              </w:rPr>
            </w:pPr>
            <w:r>
              <w:rPr>
                <w:bCs/>
              </w:rPr>
              <w:t>Dagopvang</w:t>
            </w:r>
          </w:p>
        </w:tc>
        <w:tc>
          <w:tcPr>
            <w:tcW w:w="1268" w:type="dxa"/>
            <w:tcBorders>
              <w:top w:val="single" w:sz="8" w:space="0" w:color="000000"/>
              <w:left w:val="single" w:sz="8" w:space="0" w:color="000000"/>
              <w:bottom w:val="single" w:sz="8" w:space="0" w:color="000000"/>
              <w:right w:val="single" w:sz="8" w:space="0" w:color="000000"/>
            </w:tcBorders>
            <w:hideMark/>
          </w:tcPr>
          <w:p w14:paraId="627B3C89" w14:textId="77777777" w:rsidR="00590ACF" w:rsidRDefault="00590ACF" w:rsidP="004F66E5">
            <w:pPr>
              <w:spacing w:before="100" w:beforeAutospacing="1" w:after="100" w:afterAutospacing="1"/>
              <w:jc w:val="center"/>
            </w:pPr>
            <w:r>
              <w:t>8,46</w:t>
            </w:r>
          </w:p>
        </w:tc>
        <w:tc>
          <w:tcPr>
            <w:tcW w:w="1228" w:type="dxa"/>
            <w:tcBorders>
              <w:top w:val="single" w:sz="8" w:space="0" w:color="000000"/>
              <w:left w:val="single" w:sz="8" w:space="0" w:color="000000"/>
              <w:bottom w:val="single" w:sz="8" w:space="0" w:color="000000"/>
              <w:right w:val="single" w:sz="8" w:space="0" w:color="000000"/>
            </w:tcBorders>
            <w:hideMark/>
          </w:tcPr>
          <w:p w14:paraId="2CCE38A0" w14:textId="77777777" w:rsidR="00590ACF" w:rsidRPr="0046453C" w:rsidRDefault="006D41E5" w:rsidP="004F66E5">
            <w:pPr>
              <w:spacing w:before="100" w:beforeAutospacing="1" w:after="100" w:afterAutospacing="1"/>
              <w:jc w:val="center"/>
            </w:pPr>
            <w:r w:rsidRPr="0046453C">
              <w:t>8,50</w:t>
            </w:r>
          </w:p>
        </w:tc>
      </w:tr>
      <w:tr w:rsidR="00590ACF" w14:paraId="707B29AC" w14:textId="77777777" w:rsidTr="00590ACF">
        <w:tc>
          <w:tcPr>
            <w:tcW w:w="3794" w:type="dxa"/>
            <w:tcBorders>
              <w:top w:val="single" w:sz="8" w:space="0" w:color="000000"/>
              <w:left w:val="single" w:sz="8" w:space="0" w:color="000000"/>
              <w:bottom w:val="single" w:sz="8" w:space="0" w:color="000000"/>
              <w:right w:val="single" w:sz="8" w:space="0" w:color="000000"/>
            </w:tcBorders>
            <w:hideMark/>
          </w:tcPr>
          <w:p w14:paraId="2135564A" w14:textId="77777777" w:rsidR="00590ACF" w:rsidRDefault="00590ACF" w:rsidP="004F66E5">
            <w:pPr>
              <w:spacing w:before="100" w:beforeAutospacing="1" w:after="100" w:afterAutospacing="1"/>
              <w:rPr>
                <w:bCs/>
              </w:rPr>
            </w:pPr>
            <w:r>
              <w:rPr>
                <w:bCs/>
              </w:rPr>
              <w:t>Buitenschoolse opvang</w:t>
            </w:r>
          </w:p>
        </w:tc>
        <w:tc>
          <w:tcPr>
            <w:tcW w:w="1268" w:type="dxa"/>
            <w:tcBorders>
              <w:top w:val="single" w:sz="8" w:space="0" w:color="000000"/>
              <w:left w:val="single" w:sz="8" w:space="0" w:color="000000"/>
              <w:bottom w:val="single" w:sz="8" w:space="0" w:color="000000"/>
              <w:right w:val="single" w:sz="8" w:space="0" w:color="000000"/>
            </w:tcBorders>
            <w:hideMark/>
          </w:tcPr>
          <w:p w14:paraId="163C0D75" w14:textId="77777777" w:rsidR="00590ACF" w:rsidRDefault="00590ACF" w:rsidP="004F66E5">
            <w:pPr>
              <w:spacing w:before="100" w:beforeAutospacing="1" w:after="100" w:afterAutospacing="1"/>
              <w:jc w:val="center"/>
            </w:pPr>
            <w:r>
              <w:t>7,27</w:t>
            </w:r>
          </w:p>
        </w:tc>
        <w:tc>
          <w:tcPr>
            <w:tcW w:w="1228" w:type="dxa"/>
            <w:tcBorders>
              <w:top w:val="single" w:sz="8" w:space="0" w:color="000000"/>
              <w:left w:val="single" w:sz="8" w:space="0" w:color="000000"/>
              <w:bottom w:val="single" w:sz="8" w:space="0" w:color="000000"/>
              <w:right w:val="single" w:sz="8" w:space="0" w:color="000000"/>
            </w:tcBorders>
            <w:hideMark/>
          </w:tcPr>
          <w:p w14:paraId="18DCFA4D" w14:textId="77777777" w:rsidR="00590ACF" w:rsidRPr="0046453C" w:rsidRDefault="006D41E5" w:rsidP="004F66E5">
            <w:pPr>
              <w:spacing w:before="100" w:beforeAutospacing="1" w:after="100" w:afterAutospacing="1"/>
              <w:jc w:val="center"/>
            </w:pPr>
            <w:r w:rsidRPr="0046453C">
              <w:t>7,31</w:t>
            </w:r>
          </w:p>
        </w:tc>
      </w:tr>
      <w:tr w:rsidR="00590ACF" w14:paraId="77C9A3BB" w14:textId="77777777" w:rsidTr="00590ACF">
        <w:tc>
          <w:tcPr>
            <w:tcW w:w="3794" w:type="dxa"/>
            <w:tcBorders>
              <w:top w:val="single" w:sz="8" w:space="0" w:color="000000"/>
              <w:left w:val="single" w:sz="8" w:space="0" w:color="000000"/>
              <w:bottom w:val="single" w:sz="8" w:space="0" w:color="000000"/>
              <w:right w:val="single" w:sz="8" w:space="0" w:color="000000"/>
            </w:tcBorders>
            <w:hideMark/>
          </w:tcPr>
          <w:p w14:paraId="3FFA932F" w14:textId="77777777" w:rsidR="00590ACF" w:rsidRDefault="00590ACF" w:rsidP="004F66E5">
            <w:pPr>
              <w:spacing w:before="100" w:beforeAutospacing="1" w:after="100" w:afterAutospacing="1"/>
              <w:rPr>
                <w:bCs/>
              </w:rPr>
            </w:pPr>
            <w:r>
              <w:rPr>
                <w:bCs/>
              </w:rPr>
              <w:t>Gastouderopvang</w:t>
            </w:r>
          </w:p>
        </w:tc>
        <w:tc>
          <w:tcPr>
            <w:tcW w:w="1268" w:type="dxa"/>
            <w:tcBorders>
              <w:top w:val="single" w:sz="8" w:space="0" w:color="000000"/>
              <w:left w:val="single" w:sz="8" w:space="0" w:color="000000"/>
              <w:bottom w:val="single" w:sz="8" w:space="0" w:color="000000"/>
              <w:right w:val="single" w:sz="8" w:space="0" w:color="000000"/>
            </w:tcBorders>
            <w:hideMark/>
          </w:tcPr>
          <w:p w14:paraId="0AED5AE7" w14:textId="77777777" w:rsidR="00590ACF" w:rsidRDefault="00590ACF" w:rsidP="004F66E5">
            <w:pPr>
              <w:spacing w:before="100" w:beforeAutospacing="1" w:after="100" w:afterAutospacing="1"/>
              <w:jc w:val="center"/>
            </w:pPr>
            <w:r>
              <w:t>6,49</w:t>
            </w:r>
          </w:p>
        </w:tc>
        <w:tc>
          <w:tcPr>
            <w:tcW w:w="1228" w:type="dxa"/>
            <w:tcBorders>
              <w:top w:val="single" w:sz="8" w:space="0" w:color="000000"/>
              <w:left w:val="single" w:sz="8" w:space="0" w:color="000000"/>
              <w:bottom w:val="single" w:sz="8" w:space="0" w:color="000000"/>
              <w:right w:val="single" w:sz="8" w:space="0" w:color="000000"/>
            </w:tcBorders>
            <w:hideMark/>
          </w:tcPr>
          <w:p w14:paraId="4EC507D0" w14:textId="77777777" w:rsidR="00590ACF" w:rsidRPr="0046453C" w:rsidRDefault="006D41E5" w:rsidP="004F66E5">
            <w:pPr>
              <w:spacing w:before="100" w:beforeAutospacing="1" w:after="100" w:afterAutospacing="1"/>
              <w:jc w:val="center"/>
            </w:pPr>
            <w:r w:rsidRPr="0046453C">
              <w:t>6,52</w:t>
            </w:r>
          </w:p>
        </w:tc>
      </w:tr>
    </w:tbl>
    <w:p w14:paraId="0D9B2FBA" w14:textId="77777777" w:rsidR="00590ACF" w:rsidRDefault="00590ACF" w:rsidP="004F66E5">
      <w:pPr>
        <w:pStyle w:val="Default"/>
        <w:spacing w:line="240" w:lineRule="atLeast"/>
        <w:rPr>
          <w:sz w:val="18"/>
          <w:szCs w:val="18"/>
        </w:rPr>
      </w:pPr>
    </w:p>
    <w:p w14:paraId="1582B08A" w14:textId="77777777" w:rsidR="00590ACF" w:rsidRDefault="002F5279" w:rsidP="004F66E5">
      <w:pPr>
        <w:pStyle w:val="Default"/>
        <w:spacing w:line="240" w:lineRule="atLeast"/>
        <w:rPr>
          <w:i/>
          <w:sz w:val="18"/>
          <w:szCs w:val="18"/>
        </w:rPr>
      </w:pPr>
      <w:r>
        <w:rPr>
          <w:i/>
          <w:sz w:val="18"/>
          <w:szCs w:val="18"/>
        </w:rPr>
        <w:t>2</w:t>
      </w:r>
      <w:r w:rsidR="00E9337E">
        <w:rPr>
          <w:i/>
          <w:sz w:val="18"/>
          <w:szCs w:val="18"/>
        </w:rPr>
        <w:t>.3</w:t>
      </w:r>
      <w:r w:rsidR="00590ACF">
        <w:rPr>
          <w:i/>
          <w:sz w:val="18"/>
          <w:szCs w:val="18"/>
        </w:rPr>
        <w:t xml:space="preserve"> Indexering toetsingsinkomens inkomensgroepen</w:t>
      </w:r>
    </w:p>
    <w:p w14:paraId="51BB59ED" w14:textId="77777777" w:rsidR="00590ACF" w:rsidRDefault="00590ACF" w:rsidP="004F66E5">
      <w:pPr>
        <w:pStyle w:val="Default"/>
        <w:spacing w:line="240" w:lineRule="atLeast"/>
        <w:rPr>
          <w:sz w:val="18"/>
          <w:szCs w:val="18"/>
        </w:rPr>
      </w:pPr>
      <w:r>
        <w:rPr>
          <w:sz w:val="18"/>
          <w:szCs w:val="18"/>
        </w:rPr>
        <w:t>Ook de toetsingsinkomens van de inkomensgroepen worden jaarlijks met ingang van 1 januari geïndexeerd. Het indexeringspercentage voor de toetsingsinkomens is een gewogen gemiddelde van de procentuele ontwikkeling van de contractlonen in de marktsector, de premie gefinancierde sector en de gesubsidieerde sector</w:t>
      </w:r>
      <w:r w:rsidR="00766358">
        <w:rPr>
          <w:sz w:val="18"/>
          <w:szCs w:val="18"/>
        </w:rPr>
        <w:t>,</w:t>
      </w:r>
      <w:r>
        <w:rPr>
          <w:sz w:val="18"/>
          <w:szCs w:val="18"/>
        </w:rPr>
        <w:t xml:space="preserve"> en bij de overheid, zoals geraamd voor 2022 in het CEP. Het indexeringspercentage voor 2022 bedraagt </w:t>
      </w:r>
      <w:r w:rsidR="00D60031">
        <w:rPr>
          <w:sz w:val="18"/>
          <w:szCs w:val="18"/>
        </w:rPr>
        <w:t>1,39</w:t>
      </w:r>
      <w:r w:rsidR="00F37AF0">
        <w:rPr>
          <w:sz w:val="18"/>
          <w:szCs w:val="18"/>
        </w:rPr>
        <w:t>%</w:t>
      </w:r>
      <w:r>
        <w:rPr>
          <w:sz w:val="18"/>
          <w:szCs w:val="18"/>
        </w:rPr>
        <w:t>. Dit is verwerkt in de kinderopvangtoeslagtabel 2022 in bijlage I, behorende bij artikel 6 van het Besluit kinderopvangtoeslag.</w:t>
      </w:r>
    </w:p>
    <w:p w14:paraId="1B75B0FE" w14:textId="77777777" w:rsidR="00601C2B" w:rsidRDefault="00601C2B" w:rsidP="004F66E5">
      <w:pPr>
        <w:pStyle w:val="Default"/>
        <w:spacing w:line="240" w:lineRule="atLeast"/>
        <w:rPr>
          <w:sz w:val="18"/>
          <w:szCs w:val="18"/>
        </w:rPr>
      </w:pPr>
    </w:p>
    <w:p w14:paraId="0D13B63A" w14:textId="77777777" w:rsidR="00601C2B" w:rsidRDefault="00601C2B" w:rsidP="004F66E5">
      <w:pPr>
        <w:pStyle w:val="Default"/>
        <w:spacing w:line="240" w:lineRule="atLeast"/>
        <w:rPr>
          <w:b/>
          <w:sz w:val="18"/>
          <w:szCs w:val="18"/>
        </w:rPr>
      </w:pPr>
      <w:r>
        <w:rPr>
          <w:b/>
          <w:sz w:val="18"/>
          <w:szCs w:val="18"/>
        </w:rPr>
        <w:t>3. Tijdelijke verruiming koppeling gewerkte uren voor 2021</w:t>
      </w:r>
    </w:p>
    <w:p w14:paraId="48427A27" w14:textId="77777777" w:rsidR="00601C2B" w:rsidRDefault="00601C2B" w:rsidP="004F66E5">
      <w:pPr>
        <w:pStyle w:val="Default"/>
        <w:spacing w:line="240" w:lineRule="atLeast"/>
        <w:rPr>
          <w:b/>
          <w:sz w:val="18"/>
          <w:szCs w:val="18"/>
        </w:rPr>
      </w:pPr>
    </w:p>
    <w:p w14:paraId="39551504" w14:textId="77777777" w:rsidR="00601C2B" w:rsidRDefault="00601C2B" w:rsidP="004F66E5">
      <w:r>
        <w:t xml:space="preserve">In 2020 is de </w:t>
      </w:r>
      <w:r w:rsidR="006F609B">
        <w:t>KGU</w:t>
      </w:r>
      <w:r w:rsidR="00E43082">
        <w:t xml:space="preserve"> </w:t>
      </w:r>
      <w:r>
        <w:t xml:space="preserve">in de kinderopvangtoeslag tijdelijk verruimd in het kader van COVID-19. </w:t>
      </w:r>
      <w:r w:rsidR="004F66E5">
        <w:t xml:space="preserve">Dat is geregeld in artikel 8b van het Besluit kinderopvangtoeslag. </w:t>
      </w:r>
      <w:r>
        <w:t xml:space="preserve">Vanwege de tweede sluiting van de kinderopvang vanaf 18 december 2020 </w:t>
      </w:r>
      <w:r w:rsidR="009C6BA7">
        <w:t xml:space="preserve">tot </w:t>
      </w:r>
      <w:r w:rsidR="00493884">
        <w:t>19</w:t>
      </w:r>
      <w:r w:rsidR="009C6BA7">
        <w:t xml:space="preserve"> april 2021 </w:t>
      </w:r>
      <w:r>
        <w:t xml:space="preserve">wordt de </w:t>
      </w:r>
      <w:r w:rsidR="006F609B">
        <w:t>KGU</w:t>
      </w:r>
      <w:r>
        <w:t xml:space="preserve"> opnieuw verruimd in toeslagjaar 2021. </w:t>
      </w:r>
    </w:p>
    <w:p w14:paraId="1014150B" w14:textId="77777777" w:rsidR="00601C2B" w:rsidRDefault="00601C2B" w:rsidP="004F66E5">
      <w:pPr>
        <w:rPr>
          <w:color w:val="auto"/>
          <w:szCs w:val="22"/>
        </w:rPr>
      </w:pPr>
    </w:p>
    <w:p w14:paraId="6D78119F" w14:textId="77777777" w:rsidR="00601C2B" w:rsidRDefault="00601C2B" w:rsidP="004F66E5">
      <w:r>
        <w:t>Het aantal uren kinderopvang dat voor kinderopvangtoeslag in aanmerking komt is normaal gesproken gekoppeld aan het aantal gewerkte uren van de minst werkende ouder. Het aantal uren kinderopvang dat in aanmerking komt voor kinderopva</w:t>
      </w:r>
      <w:r w:rsidR="00D35348">
        <w:t>ngtoeslag is dan gelijk aan 140 procent</w:t>
      </w:r>
      <w:r>
        <w:t xml:space="preserve"> van de gewerkte uren bij dagopvang en gastouderopvang (voor kinderen tot de leeftijd waarop zij he</w:t>
      </w:r>
      <w:r w:rsidR="00D35348">
        <w:t>t basisonderwijs volgen), en 70 procent</w:t>
      </w:r>
      <w:r>
        <w:t xml:space="preserve"> van de gewerkte uren bij buitenschoolse opvang en gastouderopvang (voor kinderen in de leeftijd waarop kinderen naar het basisonderwijs kunnen gaan). Hierbij geldt een maximum van 230 uren kinderopvangtoeslag per k</w:t>
      </w:r>
      <w:r w:rsidR="00D35348">
        <w:t>alendermaand. De normen van 140 procent en 70 procent</w:t>
      </w:r>
      <w:r>
        <w:t xml:space="preserve"> worden voor 2021 losgelaten. In plaats daarvan komen werkende ouders in aanmerking voor kinderopvangtoeslag voor het maximum van 230 uren kinderopvang per kalendermaand voor die maanden waarin zij arbeid verrichten. </w:t>
      </w:r>
    </w:p>
    <w:p w14:paraId="3248FDAB" w14:textId="77777777" w:rsidR="00601C2B" w:rsidRDefault="00601C2B" w:rsidP="004F66E5"/>
    <w:p w14:paraId="35385B2B" w14:textId="77777777" w:rsidR="00601C2B" w:rsidRDefault="00601C2B" w:rsidP="004F66E5">
      <w:r>
        <w:t>Net als bij de eerste sluiting</w:t>
      </w:r>
      <w:r w:rsidR="00493884">
        <w:t xml:space="preserve"> wegens corona in het voorjaar van 2020</w:t>
      </w:r>
      <w:r>
        <w:t xml:space="preserve"> heeft het kabinet ook tijdens de tweede sluiting </w:t>
      </w:r>
      <w:r w:rsidR="00493884">
        <w:t xml:space="preserve">vanaf eind 2020 </w:t>
      </w:r>
      <w:r>
        <w:t>ingezet op reguliere betaling van de factuur en stabiliteit in de kinderopvangtoeslag. Ouders werd gevraagd de reguliere facturen te betalen, ook als zij geen gebruik konden maken van de kinderopvang door de sluiting. Op die manier behielden ouders hun kinderopvangtoeslag en hun plek op de (buitenschoolse) opvang, en werden de kinderopvangorganisaties voorzien in de nodige (financiële) continuïteit inclusief de mogelijkheid om noodopvang te verzorgen. Ouders ontv</w:t>
      </w:r>
      <w:r w:rsidR="00493884">
        <w:t>a</w:t>
      </w:r>
      <w:r>
        <w:t xml:space="preserve">ngen van de overheid een tegemoetkoming voor het doorbetalen van de eigen bijdrage gedurende de hele sluitingsperiode. Omdat ouders de volledige factuur van de kinderopvang tijdens de sluiting hebben doorbetaald is het van belang dat de (hoogte) van de aanspraak op kinderopvangtoeslag tijdens deze periode in stand </w:t>
      </w:r>
      <w:r w:rsidR="00493884">
        <w:t>blijft</w:t>
      </w:r>
      <w:r>
        <w:t>.</w:t>
      </w:r>
    </w:p>
    <w:p w14:paraId="4E0E567D" w14:textId="77777777" w:rsidR="00601C2B" w:rsidRDefault="00601C2B" w:rsidP="00601C2B"/>
    <w:p w14:paraId="1718D965" w14:textId="77777777" w:rsidR="00601C2B" w:rsidRPr="00601C2B" w:rsidRDefault="00601C2B" w:rsidP="00601C2B">
      <w:pPr>
        <w:pStyle w:val="Default"/>
        <w:spacing w:line="240" w:lineRule="atLeast"/>
        <w:rPr>
          <w:b/>
          <w:sz w:val="12"/>
          <w:szCs w:val="18"/>
        </w:rPr>
      </w:pPr>
      <w:r w:rsidRPr="00601C2B">
        <w:rPr>
          <w:sz w:val="18"/>
        </w:rPr>
        <w:t xml:space="preserve">Aangezien het recht op kinderopvangtoeslag mede afhankelijk is van het aantal gewerkte uren, heeft een daling van het aantal gewerkte uren (bijvoorbeeld voor ouders die door het coronavirus thuis zaten en minder uren konden werken) een daling van de hoogte van het recht op kinderopvangtoeslag tot gevolg. Door een verruiming van de koppeling gewerkte uren blijft de aanspraak op kinderopvangtoeslag voor ouders in deze situaties in stand. Hiermee wordt voorkomen dat ouders achteraf worden gestraft voor het doorbetalen van de </w:t>
      </w:r>
      <w:r w:rsidR="00493884">
        <w:rPr>
          <w:sz w:val="18"/>
        </w:rPr>
        <w:t>kinder</w:t>
      </w:r>
      <w:r w:rsidRPr="00601C2B">
        <w:rPr>
          <w:sz w:val="18"/>
        </w:rPr>
        <w:t xml:space="preserve">opvang door terugvorderingen </w:t>
      </w:r>
      <w:r w:rsidR="00493884">
        <w:rPr>
          <w:sz w:val="18"/>
        </w:rPr>
        <w:t xml:space="preserve">van de toeslag </w:t>
      </w:r>
      <w:r w:rsidRPr="00601C2B">
        <w:rPr>
          <w:sz w:val="18"/>
        </w:rPr>
        <w:t xml:space="preserve">op grond van de </w:t>
      </w:r>
      <w:r w:rsidR="006F609B">
        <w:rPr>
          <w:sz w:val="18"/>
        </w:rPr>
        <w:t>KGU</w:t>
      </w:r>
      <w:r w:rsidRPr="00601C2B">
        <w:rPr>
          <w:sz w:val="18"/>
        </w:rPr>
        <w:t>.</w:t>
      </w:r>
      <w:r w:rsidR="00662D68">
        <w:rPr>
          <w:sz w:val="18"/>
        </w:rPr>
        <w:t xml:space="preserve"> De financiële gevolgen van deze tijdelijke maatregel (cumulatief € 10 miljoen) zijn in de voorjaarsbesluitvorming ingepast binnen de SZW-begroting.</w:t>
      </w:r>
    </w:p>
    <w:p w14:paraId="2F58C552" w14:textId="77777777" w:rsidR="00590ACF" w:rsidRDefault="00590ACF" w:rsidP="00590ACF">
      <w:pPr>
        <w:pStyle w:val="Default"/>
        <w:rPr>
          <w:sz w:val="18"/>
          <w:szCs w:val="18"/>
        </w:rPr>
      </w:pPr>
    </w:p>
    <w:p w14:paraId="7B969528" w14:textId="77777777" w:rsidR="00590ACF" w:rsidRDefault="00942D14" w:rsidP="00590ACF">
      <w:pPr>
        <w:pStyle w:val="Default"/>
        <w:rPr>
          <w:b/>
          <w:sz w:val="18"/>
          <w:szCs w:val="18"/>
        </w:rPr>
      </w:pPr>
      <w:r>
        <w:rPr>
          <w:b/>
          <w:sz w:val="18"/>
          <w:szCs w:val="18"/>
        </w:rPr>
        <w:t>4</w:t>
      </w:r>
      <w:r w:rsidR="00590ACF">
        <w:rPr>
          <w:b/>
          <w:sz w:val="18"/>
          <w:szCs w:val="18"/>
        </w:rPr>
        <w:t>. Financiële consequenties</w:t>
      </w:r>
      <w:r w:rsidR="00590ACF">
        <w:rPr>
          <w:b/>
          <w:sz w:val="18"/>
          <w:szCs w:val="18"/>
        </w:rPr>
        <w:br/>
      </w:r>
    </w:p>
    <w:p w14:paraId="5AE50C7A" w14:textId="77777777" w:rsidR="00590ACF" w:rsidRDefault="00590ACF" w:rsidP="00590ACF">
      <w:pPr>
        <w:pStyle w:val="Default"/>
        <w:spacing w:line="240" w:lineRule="atLeast"/>
        <w:rPr>
          <w:sz w:val="18"/>
          <w:szCs w:val="18"/>
        </w:rPr>
      </w:pPr>
      <w:r>
        <w:rPr>
          <w:sz w:val="18"/>
          <w:szCs w:val="18"/>
        </w:rPr>
        <w:t>Indexering van de toetsingsinkomens met de gemiddelde contractloonmutatie (</w:t>
      </w:r>
      <w:r w:rsidR="00E44461">
        <w:rPr>
          <w:sz w:val="18"/>
          <w:szCs w:val="18"/>
        </w:rPr>
        <w:t>1,39</w:t>
      </w:r>
      <w:r w:rsidR="00F37AF0">
        <w:rPr>
          <w:sz w:val="18"/>
          <w:szCs w:val="18"/>
        </w:rPr>
        <w:t>%</w:t>
      </w:r>
      <w:r>
        <w:rPr>
          <w:sz w:val="18"/>
          <w:szCs w:val="18"/>
        </w:rPr>
        <w:t xml:space="preserve">) is naar verwachting budgettair neutraal omdat door indexering de gemiddelde inkomensontwikkeling wordt verwerkt in de inkomensklassen. Dit betekent dat ouders gemiddeld genomen in dezelfde inkomensklasse blijven. Daarnaast worden de maximum uurprijzen conform de geldende regelgeving geïndexeerd. De bruto-uitgaven kinderopvangtoeslag </w:t>
      </w:r>
      <w:r w:rsidR="00E01EED">
        <w:rPr>
          <w:sz w:val="18"/>
          <w:szCs w:val="18"/>
        </w:rPr>
        <w:t xml:space="preserve">worden voor 2022 geraamd op </w:t>
      </w:r>
      <w:r>
        <w:rPr>
          <w:sz w:val="18"/>
          <w:szCs w:val="18"/>
        </w:rPr>
        <w:t xml:space="preserve">circa € </w:t>
      </w:r>
      <w:r w:rsidR="00E43082">
        <w:rPr>
          <w:sz w:val="18"/>
          <w:szCs w:val="18"/>
        </w:rPr>
        <w:t xml:space="preserve">3,6 </w:t>
      </w:r>
      <w:r>
        <w:rPr>
          <w:sz w:val="18"/>
          <w:szCs w:val="18"/>
        </w:rPr>
        <w:t xml:space="preserve">miljard. De </w:t>
      </w:r>
      <w:r w:rsidR="00464A94">
        <w:rPr>
          <w:sz w:val="18"/>
          <w:szCs w:val="18"/>
        </w:rPr>
        <w:t>financiële effecten</w:t>
      </w:r>
      <w:r>
        <w:rPr>
          <w:sz w:val="18"/>
          <w:szCs w:val="18"/>
        </w:rPr>
        <w:t xml:space="preserve"> van indexatie (</w:t>
      </w:r>
      <w:r w:rsidR="00E43082">
        <w:rPr>
          <w:sz w:val="18"/>
          <w:szCs w:val="18"/>
        </w:rPr>
        <w:t>0,51</w:t>
      </w:r>
      <w:r w:rsidR="00F37AF0">
        <w:rPr>
          <w:sz w:val="18"/>
          <w:szCs w:val="18"/>
        </w:rPr>
        <w:t>%</w:t>
      </w:r>
      <w:r w:rsidR="00D45486">
        <w:rPr>
          <w:sz w:val="18"/>
          <w:szCs w:val="18"/>
        </w:rPr>
        <w:t>) in 2022</w:t>
      </w:r>
      <w:r>
        <w:rPr>
          <w:sz w:val="18"/>
          <w:szCs w:val="18"/>
        </w:rPr>
        <w:t xml:space="preserve"> bedragen circa € </w:t>
      </w:r>
      <w:r w:rsidR="00E43082">
        <w:rPr>
          <w:sz w:val="18"/>
          <w:szCs w:val="18"/>
        </w:rPr>
        <w:t xml:space="preserve">19 </w:t>
      </w:r>
      <w:r>
        <w:rPr>
          <w:sz w:val="18"/>
          <w:szCs w:val="18"/>
        </w:rPr>
        <w:t xml:space="preserve">miljoen. Aangezien het de reguliere indexering betreft, is dit bedrag al onderdeel van de Rijksbegroting. </w:t>
      </w:r>
    </w:p>
    <w:p w14:paraId="201C825C" w14:textId="77777777" w:rsidR="00656BDA" w:rsidRDefault="00656BDA" w:rsidP="00590ACF">
      <w:pPr>
        <w:pStyle w:val="Default"/>
        <w:spacing w:line="240" w:lineRule="atLeast"/>
        <w:rPr>
          <w:sz w:val="18"/>
          <w:szCs w:val="18"/>
        </w:rPr>
      </w:pPr>
    </w:p>
    <w:p w14:paraId="00C1B554" w14:textId="77777777" w:rsidR="00590ACF" w:rsidRDefault="000B000C" w:rsidP="00590ACF">
      <w:pPr>
        <w:pStyle w:val="Default"/>
        <w:rPr>
          <w:sz w:val="18"/>
          <w:szCs w:val="18"/>
        </w:rPr>
      </w:pPr>
      <w:r w:rsidRPr="000B000C">
        <w:rPr>
          <w:sz w:val="18"/>
          <w:szCs w:val="18"/>
        </w:rPr>
        <w:t>Het proportioneel verhogen van de eigen bijdrage met 1,</w:t>
      </w:r>
      <w:r w:rsidR="00015203" w:rsidRPr="000B000C">
        <w:rPr>
          <w:sz w:val="18"/>
          <w:szCs w:val="18"/>
        </w:rPr>
        <w:t>5</w:t>
      </w:r>
      <w:r w:rsidR="00015203">
        <w:rPr>
          <w:sz w:val="18"/>
          <w:szCs w:val="18"/>
        </w:rPr>
        <w:t>1</w:t>
      </w:r>
      <w:r w:rsidRPr="000B000C">
        <w:rPr>
          <w:sz w:val="18"/>
          <w:szCs w:val="18"/>
        </w:rPr>
        <w:t xml:space="preserve">% voor inkomens vanaf </w:t>
      </w:r>
      <w:r w:rsidR="00E43082" w:rsidRPr="000B000C">
        <w:rPr>
          <w:sz w:val="18"/>
          <w:szCs w:val="18"/>
        </w:rPr>
        <w:t>€</w:t>
      </w:r>
      <w:r w:rsidR="00E43082">
        <w:rPr>
          <w:sz w:val="18"/>
          <w:szCs w:val="18"/>
        </w:rPr>
        <w:t> 26.067</w:t>
      </w:r>
      <w:r w:rsidR="00E43082" w:rsidRPr="000B000C">
        <w:rPr>
          <w:sz w:val="18"/>
          <w:szCs w:val="18"/>
        </w:rPr>
        <w:t xml:space="preserve"> </w:t>
      </w:r>
      <w:r w:rsidRPr="000B000C">
        <w:rPr>
          <w:sz w:val="18"/>
          <w:szCs w:val="18"/>
        </w:rPr>
        <w:t xml:space="preserve">met behoud van de vaste voet van 33,3% voor het eerste kind leidt tot een budgettaire besparing die ingroeit tot structureel circa € </w:t>
      </w:r>
      <w:r w:rsidR="00015203">
        <w:rPr>
          <w:sz w:val="18"/>
          <w:szCs w:val="18"/>
        </w:rPr>
        <w:t>27,5</w:t>
      </w:r>
      <w:r w:rsidR="00015203" w:rsidRPr="000B000C">
        <w:rPr>
          <w:sz w:val="18"/>
          <w:szCs w:val="18"/>
        </w:rPr>
        <w:t xml:space="preserve"> </w:t>
      </w:r>
      <w:r w:rsidRPr="000B000C">
        <w:rPr>
          <w:sz w:val="18"/>
          <w:szCs w:val="18"/>
        </w:rPr>
        <w:t>miljoen.</w:t>
      </w:r>
    </w:p>
    <w:p w14:paraId="225609F2" w14:textId="77777777" w:rsidR="006F646D" w:rsidRDefault="006F646D" w:rsidP="00590ACF">
      <w:pPr>
        <w:pStyle w:val="Default"/>
        <w:rPr>
          <w:sz w:val="18"/>
          <w:szCs w:val="18"/>
        </w:rPr>
      </w:pPr>
    </w:p>
    <w:p w14:paraId="59C845C1" w14:textId="77777777" w:rsidR="006F646D" w:rsidRDefault="006F646D" w:rsidP="00590ACF">
      <w:pPr>
        <w:pStyle w:val="Default"/>
        <w:rPr>
          <w:sz w:val="18"/>
          <w:szCs w:val="18"/>
        </w:rPr>
      </w:pPr>
      <w:r>
        <w:rPr>
          <w:sz w:val="18"/>
          <w:szCs w:val="18"/>
        </w:rPr>
        <w:t xml:space="preserve">De financiële gevolgen </w:t>
      </w:r>
      <w:r w:rsidRPr="006F646D">
        <w:rPr>
          <w:sz w:val="18"/>
          <w:szCs w:val="18"/>
        </w:rPr>
        <w:t xml:space="preserve">van </w:t>
      </w:r>
      <w:r>
        <w:rPr>
          <w:sz w:val="18"/>
          <w:szCs w:val="18"/>
        </w:rPr>
        <w:t>de tijdelijke verruiming</w:t>
      </w:r>
      <w:r w:rsidRPr="006F646D">
        <w:rPr>
          <w:sz w:val="18"/>
          <w:szCs w:val="18"/>
        </w:rPr>
        <w:t xml:space="preserve"> van de </w:t>
      </w:r>
      <w:r w:rsidR="00BC4AE4">
        <w:rPr>
          <w:sz w:val="18"/>
          <w:szCs w:val="18"/>
        </w:rPr>
        <w:t>KGU</w:t>
      </w:r>
      <w:r>
        <w:rPr>
          <w:sz w:val="18"/>
          <w:szCs w:val="18"/>
        </w:rPr>
        <w:t xml:space="preserve"> voor 2021</w:t>
      </w:r>
      <w:r w:rsidRPr="006F646D">
        <w:rPr>
          <w:sz w:val="18"/>
          <w:szCs w:val="18"/>
        </w:rPr>
        <w:t xml:space="preserve"> bedragen incidenteel ongeveer € 10 miljoen. Deels is dit het gevolg van minder terugvorderingen op grond van de </w:t>
      </w:r>
      <w:r w:rsidR="00BC4AE4">
        <w:rPr>
          <w:sz w:val="18"/>
          <w:szCs w:val="18"/>
        </w:rPr>
        <w:t>KGU</w:t>
      </w:r>
      <w:r w:rsidRPr="006F646D">
        <w:rPr>
          <w:sz w:val="18"/>
          <w:szCs w:val="18"/>
        </w:rPr>
        <w:t>. Dit leidt tot minder terugontvangsten gespreid over de eerstvolgende jaren</w:t>
      </w:r>
      <w:r w:rsidR="00662D68">
        <w:rPr>
          <w:sz w:val="18"/>
          <w:szCs w:val="18"/>
        </w:rPr>
        <w:t xml:space="preserve"> </w:t>
      </w:r>
      <w:r w:rsidR="00662D68" w:rsidRPr="006F646D">
        <w:rPr>
          <w:sz w:val="18"/>
          <w:szCs w:val="18"/>
        </w:rPr>
        <w:t xml:space="preserve">(ongeveer € 4 </w:t>
      </w:r>
      <w:r w:rsidR="00662D68">
        <w:rPr>
          <w:sz w:val="18"/>
          <w:szCs w:val="18"/>
        </w:rPr>
        <w:t>miljoen</w:t>
      </w:r>
      <w:r w:rsidR="00662D68" w:rsidRPr="006F646D">
        <w:rPr>
          <w:sz w:val="18"/>
          <w:szCs w:val="18"/>
        </w:rPr>
        <w:t>)</w:t>
      </w:r>
      <w:r w:rsidRPr="006F646D">
        <w:rPr>
          <w:sz w:val="18"/>
          <w:szCs w:val="18"/>
        </w:rPr>
        <w:t>. Voor het overige deel zijn de kosten het gevol</w:t>
      </w:r>
      <w:r>
        <w:rPr>
          <w:sz w:val="18"/>
          <w:szCs w:val="18"/>
        </w:rPr>
        <w:t>g van een gedragseffect (€ 6 miljoen</w:t>
      </w:r>
      <w:r w:rsidRPr="006F646D">
        <w:rPr>
          <w:sz w:val="18"/>
          <w:szCs w:val="18"/>
        </w:rPr>
        <w:t xml:space="preserve">), omdat de </w:t>
      </w:r>
      <w:r w:rsidR="00BC4AE4">
        <w:rPr>
          <w:sz w:val="18"/>
          <w:szCs w:val="18"/>
        </w:rPr>
        <w:t>KGU</w:t>
      </w:r>
      <w:r w:rsidRPr="006F646D">
        <w:rPr>
          <w:sz w:val="18"/>
          <w:szCs w:val="18"/>
        </w:rPr>
        <w:t xml:space="preserve"> voor de BSO in 2022 structureel verruimd wordt (</w:t>
      </w:r>
      <w:r>
        <w:rPr>
          <w:sz w:val="18"/>
          <w:szCs w:val="18"/>
        </w:rPr>
        <w:t>zie onderdeel 2.1 van de nota van toelichting</w:t>
      </w:r>
      <w:r w:rsidRPr="006F646D">
        <w:rPr>
          <w:sz w:val="18"/>
          <w:szCs w:val="18"/>
        </w:rPr>
        <w:t>). Hierdoor is het niet volledig een tijdelijke maatregel, maar loopt het deels vooruit op een structurele wijziging waarop ouders zouden kunnen anticiperen.</w:t>
      </w:r>
    </w:p>
    <w:p w14:paraId="7328F555" w14:textId="77777777" w:rsidR="000B000C" w:rsidRDefault="000B000C" w:rsidP="00590ACF">
      <w:pPr>
        <w:pStyle w:val="Default"/>
        <w:rPr>
          <w:sz w:val="18"/>
          <w:szCs w:val="18"/>
        </w:rPr>
      </w:pPr>
    </w:p>
    <w:p w14:paraId="0558BBEA" w14:textId="77777777" w:rsidR="00590ACF" w:rsidRDefault="00942D14" w:rsidP="00590ACF">
      <w:r>
        <w:rPr>
          <w:b/>
        </w:rPr>
        <w:t>5</w:t>
      </w:r>
      <w:r w:rsidR="00590ACF">
        <w:rPr>
          <w:b/>
        </w:rPr>
        <w:t>. Inkomenseffecten</w:t>
      </w:r>
      <w:r w:rsidR="00590ACF">
        <w:rPr>
          <w:b/>
        </w:rPr>
        <w:br/>
      </w:r>
      <w:r w:rsidR="00590ACF">
        <w:rPr>
          <w:b/>
        </w:rPr>
        <w:br/>
      </w:r>
      <w:r w:rsidR="00590ACF">
        <w:t>Door de indexatie loopt de kinderopvangtoeslag in de pas met de gemiddelde loon- en prijsontwikkeling in de economie, zodat deze ontwikkelingen via de kinderopvangtoeslag gemiddeld geen inkomenseffecten geven.</w:t>
      </w:r>
      <w:r w:rsidR="002D1534">
        <w:t xml:space="preserve"> </w:t>
      </w:r>
      <w:r w:rsidR="002D1534" w:rsidRPr="00430C4C">
        <w:t xml:space="preserve">De bekostiging van </w:t>
      </w:r>
      <w:r w:rsidR="00E01EED">
        <w:t xml:space="preserve">de hierboven genoemde maatregelen, behoudende de indexatie, </w:t>
      </w:r>
      <w:r w:rsidR="002A58B4" w:rsidRPr="00430C4C">
        <w:t xml:space="preserve">zal over alle inkomensgroepen </w:t>
      </w:r>
      <w:r w:rsidR="00F42266">
        <w:t xml:space="preserve">vanaf € 26.067 </w:t>
      </w:r>
      <w:r w:rsidR="002A58B4" w:rsidRPr="00430C4C">
        <w:t xml:space="preserve">evenredig verdeeld worden. Hierdoor </w:t>
      </w:r>
      <w:r w:rsidR="00F42266">
        <w:t>zijn</w:t>
      </w:r>
      <w:r w:rsidR="00F42266" w:rsidRPr="00430C4C">
        <w:t xml:space="preserve"> </w:t>
      </w:r>
      <w:r w:rsidR="002A58B4" w:rsidRPr="00430C4C">
        <w:t>de inkomenseffecten</w:t>
      </w:r>
      <w:r w:rsidR="00F42266">
        <w:t xml:space="preserve"> voor KOT-ontvangers</w:t>
      </w:r>
      <w:r w:rsidR="002A58B4" w:rsidRPr="00430C4C">
        <w:t xml:space="preserve"> </w:t>
      </w:r>
      <w:r w:rsidR="00F42266">
        <w:t>beperkt en in doorsnee oplopend tot -0,1%</w:t>
      </w:r>
      <w:r w:rsidR="002A58B4" w:rsidRPr="00430C4C">
        <w:t>.</w:t>
      </w:r>
      <w:r w:rsidR="006D05AA">
        <w:t xml:space="preserve"> </w:t>
      </w:r>
    </w:p>
    <w:p w14:paraId="382DA134" w14:textId="77777777" w:rsidR="00590ACF" w:rsidRDefault="00590ACF" w:rsidP="00590ACF">
      <w:pPr>
        <w:rPr>
          <w:b/>
        </w:rPr>
      </w:pPr>
    </w:p>
    <w:p w14:paraId="498E0D46" w14:textId="6E0F2AF1" w:rsidR="00590ACF" w:rsidRDefault="00942D14" w:rsidP="00590ACF">
      <w:pPr>
        <w:rPr>
          <w:b/>
        </w:rPr>
      </w:pPr>
      <w:r>
        <w:rPr>
          <w:b/>
        </w:rPr>
        <w:t>6</w:t>
      </w:r>
      <w:r w:rsidR="00590ACF">
        <w:rPr>
          <w:b/>
        </w:rPr>
        <w:t>. Uitgebrachte adviezen</w:t>
      </w:r>
      <w:r w:rsidR="00590ACF">
        <w:rPr>
          <w:b/>
        </w:rPr>
        <w:br/>
      </w:r>
      <w:r w:rsidR="00590ACF">
        <w:rPr>
          <w:b/>
        </w:rPr>
        <w:br/>
      </w:r>
      <w:r w:rsidR="00F95159">
        <w:t>Toeslagen</w:t>
      </w:r>
      <w:r w:rsidR="00284636" w:rsidRPr="00284636">
        <w:t xml:space="preserve"> heeft de wijzigingen uit de onderhavige regeling met de uitvoeringstoets beoordeeld. </w:t>
      </w:r>
      <w:r w:rsidR="00F95159">
        <w:t>Toeslagen</w:t>
      </w:r>
      <w:r w:rsidR="00284636" w:rsidRPr="00284636">
        <w:t xml:space="preserve"> verwacht dat de maatregelen uit deze regeling slechts een marginale impact hebben en daarmee uitvoerbaar zijn. De noodzakelijke kosten voor de maatregelen in deze regeling zijn marginaal en de daarvoor benodigde additionele werkzaamheden worden opgevangen bi</w:t>
      </w:r>
      <w:r w:rsidR="000227AE">
        <w:t xml:space="preserve">nnen de bestaande processen van </w:t>
      </w:r>
      <w:r w:rsidR="00F95159">
        <w:t>Toeslagen</w:t>
      </w:r>
      <w:r w:rsidR="00284636" w:rsidRPr="00284636">
        <w:t>.</w:t>
      </w:r>
    </w:p>
    <w:p w14:paraId="69A017E9" w14:textId="77777777" w:rsidR="00590ACF" w:rsidRDefault="00590ACF" w:rsidP="00590ACF">
      <w:pPr>
        <w:rPr>
          <w:b/>
        </w:rPr>
      </w:pPr>
    </w:p>
    <w:p w14:paraId="3DC22B8C" w14:textId="77777777" w:rsidR="00590ACF" w:rsidRDefault="00942D14" w:rsidP="00590ACF">
      <w:pPr>
        <w:rPr>
          <w:b/>
        </w:rPr>
      </w:pPr>
      <w:r>
        <w:rPr>
          <w:b/>
        </w:rPr>
        <w:t>7</w:t>
      </w:r>
      <w:r w:rsidR="00590ACF">
        <w:rPr>
          <w:b/>
        </w:rPr>
        <w:t xml:space="preserve">. Gevolgen regeldruk </w:t>
      </w:r>
      <w:r w:rsidR="00590ACF">
        <w:rPr>
          <w:b/>
        </w:rPr>
        <w:br/>
      </w:r>
    </w:p>
    <w:p w14:paraId="5D0D74E5" w14:textId="77777777" w:rsidR="00590ACF" w:rsidRDefault="00CC50CD" w:rsidP="00590ACF">
      <w:r w:rsidRPr="00CC50CD">
        <w:t>Deze wijziging van het Besluit kinderopvangtoeslag heeft geen gevolgen voor de regeldruk van bedrijven, burgers en uitvoerende professionals.</w:t>
      </w:r>
      <w:r w:rsidR="00351FED">
        <w:t xml:space="preserve"> </w:t>
      </w:r>
      <w:r w:rsidR="00351FED" w:rsidRPr="00351FED">
        <w:t>Het Adviescollege toetsing regeldruk (ATR) heeft het dossier niet geselecteerd voor een formeel advies, omdat het geen omvangrijke gevolgen voor de regeldruk heeft</w:t>
      </w:r>
      <w:r>
        <w:t>.</w:t>
      </w:r>
      <w:r w:rsidR="008B7A17">
        <w:t xml:space="preserve"> </w:t>
      </w:r>
    </w:p>
    <w:p w14:paraId="684A69A1" w14:textId="77777777" w:rsidR="00590ACF" w:rsidRDefault="00590ACF" w:rsidP="00590ACF">
      <w:pPr>
        <w:rPr>
          <w:b/>
          <w:szCs w:val="20"/>
        </w:rPr>
      </w:pPr>
    </w:p>
    <w:p w14:paraId="09C329AC" w14:textId="77777777" w:rsidR="00590ACF" w:rsidRDefault="00942D14" w:rsidP="00590ACF">
      <w:pPr>
        <w:rPr>
          <w:b/>
        </w:rPr>
      </w:pPr>
      <w:r>
        <w:rPr>
          <w:b/>
        </w:rPr>
        <w:t>8</w:t>
      </w:r>
      <w:r w:rsidR="00590ACF">
        <w:rPr>
          <w:b/>
        </w:rPr>
        <w:t>. Uitkomsten internetconsultatie</w:t>
      </w:r>
      <w:r w:rsidR="00590ACF">
        <w:rPr>
          <w:b/>
        </w:rPr>
        <w:br/>
      </w:r>
    </w:p>
    <w:p w14:paraId="1F225958" w14:textId="77777777" w:rsidR="00590ACF" w:rsidRDefault="00590ACF" w:rsidP="00590ACF">
      <w:r>
        <w:t>Het onderhavige besluit is</w:t>
      </w:r>
      <w:r w:rsidR="00135DCF">
        <w:t xml:space="preserve"> in maart 2021</w:t>
      </w:r>
      <w:r>
        <w:t xml:space="preserve"> vier weken opengesteld voor internetconsultatie.</w:t>
      </w:r>
      <w:r w:rsidR="004E7458">
        <w:t xml:space="preserve"> Op het moment van internetconsultatie was het nog niet mogeli</w:t>
      </w:r>
      <w:r w:rsidR="00FA3128">
        <w:t>jk alle informatie in te vullen. D</w:t>
      </w:r>
      <w:r w:rsidR="004E7458">
        <w:t xml:space="preserve">e bedragen van het CEP </w:t>
      </w:r>
      <w:r w:rsidR="00FA3128">
        <w:t xml:space="preserve">waren </w:t>
      </w:r>
      <w:r w:rsidR="004E7458">
        <w:t>destijds nog niet bekend</w:t>
      </w:r>
      <w:r w:rsidR="00FA3128">
        <w:t>. Wel zijn de achterliggende principes voor indexering toegelicht.</w:t>
      </w:r>
      <w:r w:rsidR="004E7458">
        <w:t xml:space="preserve"> </w:t>
      </w:r>
      <w:r w:rsidR="00FA3128">
        <w:t xml:space="preserve">Tevens was nog niet bekend dat de uitgaven voor de </w:t>
      </w:r>
      <w:r w:rsidR="009861A5">
        <w:t xml:space="preserve">verdere </w:t>
      </w:r>
      <w:r w:rsidR="00FA3128">
        <w:t>verruiming v</w:t>
      </w:r>
      <w:r w:rsidR="00FA3128" w:rsidRPr="00FA3128">
        <w:t>an de uitzondering bij het recht op kinderopvangtoeslag voor ouders wiens partner is veroordeeld tot een vrijheidsbenemende straf of maatregel</w:t>
      </w:r>
      <w:r w:rsidR="00FA3128">
        <w:t xml:space="preserve"> en de verhoging van de doelmatigheidsgrenzen vanuit de kinderopvangtoeslag gedekt moesten worden</w:t>
      </w:r>
      <w:r w:rsidR="004E7458">
        <w:t xml:space="preserve">. </w:t>
      </w:r>
      <w:r w:rsidR="00F95159">
        <w:t>De consultatie ging daarmee alleen over de indexatie voor 2022 en de verruimi</w:t>
      </w:r>
      <w:r w:rsidR="00351FED">
        <w:t>ng van de KGU voor BSO voor 2022</w:t>
      </w:r>
      <w:r w:rsidR="00F95159">
        <w:t>.</w:t>
      </w:r>
      <w:r w:rsidR="009861A5">
        <w:t xml:space="preserve"> De consultatie heeft geleid tot 14 reacties.</w:t>
      </w:r>
      <w:r w:rsidR="00F95159">
        <w:t xml:space="preserve"> </w:t>
      </w:r>
    </w:p>
    <w:p w14:paraId="03CA3EBE" w14:textId="77777777" w:rsidR="00590ACF" w:rsidRDefault="00590ACF" w:rsidP="00590ACF"/>
    <w:p w14:paraId="00D5B43A" w14:textId="77777777" w:rsidR="00135DCF" w:rsidRDefault="00135DCF" w:rsidP="00135DCF">
      <w:pPr>
        <w:rPr>
          <w:color w:val="auto"/>
          <w:szCs w:val="22"/>
        </w:rPr>
      </w:pPr>
      <w:r>
        <w:t xml:space="preserve">De meeste reacties betreffen de indexatie van de maximum uurprijzen. Er wordt aangegeven dat indexeren alleen niet voldoende is om de kosten van de kinderopvang te compenseren, omdat de daadwerkelijke uurtarieven hoger zijn. Dit zou onder andere komen door de gestelde kwaliteitseisen. Daarbij wordt aandacht gevraagd voor de mogelijke gevolgen van de Coronacrisis op de ontwikkeling van de uurtarieven, evenals als de onderhandelingen voor de nieuwe CAO Kinderopvang na juli 2021. Hierdoor zou de toegankelijkheid van de kinderopvang voor met name de lage inkomens worden beperkt. </w:t>
      </w:r>
    </w:p>
    <w:p w14:paraId="216FC733" w14:textId="77777777" w:rsidR="00135DCF" w:rsidRDefault="00135DCF" w:rsidP="00135DCF"/>
    <w:p w14:paraId="5839B6DC" w14:textId="77777777" w:rsidR="00135DCF" w:rsidRDefault="00135DCF" w:rsidP="00135DCF">
      <w:r>
        <w:t xml:space="preserve">Voor de jaarlijkse aanpassing van de maximum uurprijzen wordt uitgegaan van objectieve factoren. Daarbij wordt de gemiddelde loonontwikkeling gehanteerd, waar kinderopvang onderdeel van is. Indien de stijgende tarieven worden veroorzaakt door de stijgende loonkosten in de kinderopvang kan de sector er voor kiezen af te wijken van de loonontwikkeling. </w:t>
      </w:r>
      <w:r w:rsidR="004665E6">
        <w:t>Er moet geen prikkel ontstaan</w:t>
      </w:r>
      <w:r>
        <w:t xml:space="preserve"> waarbij hogere loonkosten in de kinderopvang en als gevolg daarvan stijgende tarieven grotendeels worden bekostigd middels publieke middelen via een hogere maximum uurprijs. De eigen bijdrage van ouders bestaat namelijk onder meer uit een percentage van het tarief tot aan de maximum uurprijs. Dit zou de toegankelijkheid van de kinderopvang niet ten goede komen, omdat stijgende uurtarieven leiden tot hogere kosten voor ouders. </w:t>
      </w:r>
    </w:p>
    <w:p w14:paraId="3928F844" w14:textId="77777777" w:rsidR="00135DCF" w:rsidRDefault="00135DCF" w:rsidP="00135DCF"/>
    <w:p w14:paraId="73C91EDE" w14:textId="77777777" w:rsidR="00135DCF" w:rsidRDefault="001C7F3A" w:rsidP="00135DCF">
      <w:r>
        <w:t xml:space="preserve">Het is belangrijk dat de kinderopvang voor </w:t>
      </w:r>
      <w:r w:rsidR="00135DCF">
        <w:t>alle inkomensgroepen</w:t>
      </w:r>
      <w:r>
        <w:t xml:space="preserve"> toegankelijk is met als onderdeel daarvan</w:t>
      </w:r>
      <w:r w:rsidR="00135DCF">
        <w:t xml:space="preserve"> een toereikende maximum uurprijs</w:t>
      </w:r>
      <w:r>
        <w:t xml:space="preserve">. </w:t>
      </w:r>
      <w:r w:rsidR="00135DCF">
        <w:t>Uit onderzoek blijkt dat de gemiddelde tarieven in de dagopvang en de buitenschoolse opvang gemiddeld boven de maximum uurprijs liggen. Zoals ook eerder aangegeven is dit daarom een belangrijk aandachtspunt, omdat het van invloed kan zijn op de toegankelijkheid. Onlangs heeft het CBS ook een uitsplitsing gemaakt naar het recht op en gebruik van kinderopvangtoeslag tussen 2015 en 2019. Hierbij heeft het CBS onderscheid gemaakt naar verschillende inkomensgroepen. Hoewel het gebruik onder lage inkomens lager ligt dan onder hoge inkomens, is het gebruik onder alle inkomensgroepen</w:t>
      </w:r>
      <w:r w:rsidR="00E62B6B">
        <w:t xml:space="preserve"> in deze periode toegenomen, wat een positieve ontwikkeling is.</w:t>
      </w:r>
      <w:r w:rsidR="00135DCF">
        <w:t xml:space="preserve"> Daarnaast worden er net als afgelopen jaar geen kostenverhogende maatregelen getroffen, waardoor een verdere verhoging van de maximum uurprijzen in dat perspectief niet aan de orde is. Dit alles leidt ertoe dat de maximum uurprijzen voor 2022, naast de indexatie niet extra worden verhoogd. Wel zal de ontwikkeling van de tarieven en het gebruik blijven</w:t>
      </w:r>
      <w:r>
        <w:t xml:space="preserve"> worden gemonitord. </w:t>
      </w:r>
    </w:p>
    <w:p w14:paraId="05B22682" w14:textId="77777777" w:rsidR="00135DCF" w:rsidRDefault="00135DCF" w:rsidP="00135DCF"/>
    <w:p w14:paraId="1E7C0672" w14:textId="77777777" w:rsidR="00135DCF" w:rsidRDefault="00135DCF" w:rsidP="00135DCF">
      <w:r>
        <w:t xml:space="preserve">De Coronacrisis heeft gevolgen voor de kinderopvang en daarom is </w:t>
      </w:r>
      <w:r w:rsidR="00246DEA">
        <w:t xml:space="preserve">onder andere </w:t>
      </w:r>
      <w:r>
        <w:t xml:space="preserve">de Tijdelijke </w:t>
      </w:r>
      <w:r w:rsidR="0013037C">
        <w:t>t</w:t>
      </w:r>
      <w:r>
        <w:t>egemoetkomingsregeling K</w:t>
      </w:r>
      <w:r w:rsidR="0013037C">
        <w:t>O</w:t>
      </w:r>
      <w:r>
        <w:t xml:space="preserve"> (TTKO) in het leven geroepen</w:t>
      </w:r>
      <w:r w:rsidR="00246DEA">
        <w:t xml:space="preserve"> voor </w:t>
      </w:r>
      <w:r w:rsidR="008374AC">
        <w:t>personen</w:t>
      </w:r>
      <w:r w:rsidR="00246DEA">
        <w:t xml:space="preserve"> met kinderopvangtoeslag</w:t>
      </w:r>
      <w:r>
        <w:t xml:space="preserve">. De uitvoering van deze noodmaatregel verloopt succesvol. Ouders hebben breed gehoor gegeven aan de oproep om door te blijven betalen en hebben een tegemoetkoming voor de eigen bijdrage gehad. </w:t>
      </w:r>
      <w:r w:rsidR="000C5A37">
        <w:t xml:space="preserve">Ouders die gebruik maken van kinderopvang via een gemeentelijke subsidie (in het kader van voorschoolse educatie, peuteraanbod of in geval een sociaal-medische indicatie) ontvangen een tegemoetkoming voor de betaalde eigen bijdrage via de gemeente. </w:t>
      </w:r>
      <w:r w:rsidR="003A2D7C">
        <w:t>P</w:t>
      </w:r>
      <w:r w:rsidR="00246DEA">
        <w:t xml:space="preserve">ersonen </w:t>
      </w:r>
      <w:r>
        <w:t>die</w:t>
      </w:r>
      <w:r w:rsidR="000C5A37">
        <w:t xml:space="preserve"> kinderopvang gebruiken zonder </w:t>
      </w:r>
      <w:r w:rsidR="003A2D7C">
        <w:t xml:space="preserve">dat zij </w:t>
      </w:r>
      <w:r w:rsidR="000C5A37">
        <w:t>enige vorm van overheidsfinanciering (geen kinderopvangtoeslag of gemeentelijke regeling)</w:t>
      </w:r>
      <w:r>
        <w:t xml:space="preserve"> ontvangen</w:t>
      </w:r>
      <w:r w:rsidR="003A2D7C">
        <w:t xml:space="preserve">, kunnen een beroep doen op </w:t>
      </w:r>
      <w:r>
        <w:t>de Tijdelijke tegemoetkomingsregeling kinderopvang zonder overheidsvergoeding (TTKZO).</w:t>
      </w:r>
      <w:r w:rsidR="003A2D7C">
        <w:t xml:space="preserve"> Die regeling was ten tijde van de consultatie van dit besluit in voorbereiding.</w:t>
      </w:r>
      <w:r>
        <w:t xml:space="preserve"> Ook is de KGU tijdelijk verruimd voor 2020</w:t>
      </w:r>
      <w:r w:rsidR="000C5A37">
        <w:t>. Dit laatste</w:t>
      </w:r>
      <w:r>
        <w:t xml:space="preserve"> zal tevens geregeld worden voor 2021 middels het onderhavige besluit. Middels deze maatregelen </w:t>
      </w:r>
      <w:r w:rsidR="00246DEA">
        <w:t xml:space="preserve">wordt beoogd </w:t>
      </w:r>
      <w:r>
        <w:t>de gevolgen van de Coronacrisis op</w:t>
      </w:r>
      <w:r w:rsidR="00246DEA">
        <w:t xml:space="preserve"> te </w:t>
      </w:r>
      <w:r>
        <w:t xml:space="preserve">vangen. </w:t>
      </w:r>
      <w:r w:rsidR="000C5A37">
        <w:t xml:space="preserve">De financiering van bovengenoemde Corona-maatregelen loopt niet via dit </w:t>
      </w:r>
      <w:r w:rsidR="003A2D7C">
        <w:t>b</w:t>
      </w:r>
      <w:r w:rsidR="000C5A37">
        <w:t>esluit.</w:t>
      </w:r>
    </w:p>
    <w:p w14:paraId="17100641" w14:textId="77777777" w:rsidR="00135DCF" w:rsidRDefault="00135DCF" w:rsidP="00135DCF"/>
    <w:p w14:paraId="5CCC9FFD" w14:textId="77777777" w:rsidR="00135DCF" w:rsidRDefault="00135DCF" w:rsidP="00135DCF">
      <w:r>
        <w:t xml:space="preserve">De verruiming van de KGU voor de </w:t>
      </w:r>
      <w:r w:rsidR="0013037C">
        <w:t>buitenschoolse opvang</w:t>
      </w:r>
      <w:r>
        <w:t xml:space="preserve"> wordt in alle reacties als positief ervaren. Er wordt waardering uitgesproken voor het oplossen van het knelpunt voor ouders waarvan werktijden niet overlappen met BSO-tijden. Er wordt een suggestie gedaan om de eerste inkomensgrens waarvan het toeslagpercentage wordt verlaagd te verhogen om de laagste inkomens te ontzien. Tevens wordt er aandacht gevraagd voor eventuele vraaguitval als gevolg van de dekkingsmaatregel voor de verruiming. De kosten voor van de verruiming worden bewust gespreid verdeeld over alle inkomensgroepen waarbij de laagste inkomens worden ontzien. De keuze om de toeslagpercentages te verhogen vanaf een hogere inkomensgroep zou zorgen voor een meer ongelijke verdeling van de kosten over de overige inkomens, terwijl er bewust is gekozen om de kosten gelijkmatig te spreiden. Door het spreiden van de kosten zal deze dekkingsmaatregel een zeer beperkte invloed hebben op de hoogte van de eigen bijdrage. Daarom is de verwachting dat het effect van de dekkingsmaatregel op eventuele vraaguitval zeer gering zal zijn. </w:t>
      </w:r>
    </w:p>
    <w:p w14:paraId="3122857A" w14:textId="77777777" w:rsidR="00135DCF" w:rsidRDefault="00135DCF" w:rsidP="00135DCF"/>
    <w:p w14:paraId="146767A0" w14:textId="77777777" w:rsidR="00135DCF" w:rsidRDefault="00135DCF" w:rsidP="00135DCF">
      <w:r>
        <w:t xml:space="preserve">Ook wordt in de reacties aangegeven dat het wenselijk is om minder </w:t>
      </w:r>
      <w:r w:rsidR="00246DEA">
        <w:t>inkomenstreden</w:t>
      </w:r>
      <w:r>
        <w:t xml:space="preserve"> te hebben in de toeslagtabel. Een kleine inkomenswijziging leidt nu relatief snel tot een wijziging van het toeslagpercentage. Dit voorstel wordt niet overgenomen, omdat er juist bewust gekozen is voor een </w:t>
      </w:r>
      <w:r w:rsidR="00246DEA">
        <w:t xml:space="preserve">geleidelijke verloop in de tabel bij wijzigingen in het inkomen. </w:t>
      </w:r>
      <w:r>
        <w:t>Zodoende zorgt een inkomenswijziging niet direct voor een grote wijziging in het toeslagpercentage. Dit geldt met name voor ouders die rond de grens van een inkomensgroep zitten.</w:t>
      </w:r>
    </w:p>
    <w:p w14:paraId="5DFF117B" w14:textId="77777777" w:rsidR="00135DCF" w:rsidRDefault="00135DCF" w:rsidP="00135DCF"/>
    <w:p w14:paraId="1D4E89E8" w14:textId="77777777" w:rsidR="00135DCF" w:rsidRDefault="00135DCF" w:rsidP="00135DCF">
      <w:r>
        <w:t>Tevens wordt voorgesteld om de maximum uurprijzen voor de gastouderopvang gelijk te stellen met de maximum uurprijzen van kinderdagverblijven. De gemiddelde uurtarieven in de gastouderopvang liggen, zowel voor 0-4 jarigen als 4-12 jarigen, significant lager dan de uurtarieven van kinderdagverblijven buitenschoolse opvang. Het is daarom doelmatig om meerdere categorieën te hanteren. Tegelijkertijd moet het stelsel begrijpelijk blijven. Er wordt in een reactie een suggestie gedaan voor een apart maximum uurtarief voor de vve-peuteropvang. De vve-peuteropvang maakt geen deel uit van het stelsel van de kinderopvangtoeslag. Het introduceren van een extra categorie verhoogt ook de complexiteit van de kinderopvangtoeslag. Daarbij verloopt de financiering van voorschoolse educatie via gemeenten en deze ontvangen hiervoor middelen.</w:t>
      </w:r>
      <w:r w:rsidR="00E31AD4">
        <w:t xml:space="preserve"> </w:t>
      </w:r>
      <w:r w:rsidR="00D5713C">
        <w:t>De gemeente is in het geval van voorschoolse educatie het beste in staat</w:t>
      </w:r>
      <w:r w:rsidR="00E31AD4">
        <w:t xml:space="preserve"> maatwerk </w:t>
      </w:r>
      <w:r w:rsidR="00D5713C">
        <w:t xml:space="preserve">te </w:t>
      </w:r>
      <w:r w:rsidR="00E31AD4">
        <w:t>bieden dat aansluit op de behoefte van het ouder en kind</w:t>
      </w:r>
      <w:r w:rsidR="00D5713C">
        <w:t>.</w:t>
      </w:r>
      <w:r>
        <w:t xml:space="preserve"> Er </w:t>
      </w:r>
      <w:r w:rsidR="00D5713C">
        <w:t xml:space="preserve">wordt </w:t>
      </w:r>
      <w:r>
        <w:t>daarom geen nieuwe categorie voor vve-peuteropvang ingevoerd.</w:t>
      </w:r>
    </w:p>
    <w:p w14:paraId="690D442C" w14:textId="77777777" w:rsidR="001F7A25" w:rsidRPr="00E31AD4" w:rsidRDefault="001F7A25" w:rsidP="00135DCF"/>
    <w:p w14:paraId="3CFD4358" w14:textId="77777777" w:rsidR="00135DCF" w:rsidRDefault="00135DCF" w:rsidP="00135DCF">
      <w:r w:rsidRPr="00E31AD4">
        <w:t xml:space="preserve">Ook wordt het voorstel gedaan om de KGU geheel los te laten. </w:t>
      </w:r>
      <w:r w:rsidR="0013037C">
        <w:t>V</w:t>
      </w:r>
      <w:r w:rsidRPr="00E31AD4">
        <w:t xml:space="preserve">erruiming van de KGU voor de </w:t>
      </w:r>
      <w:r w:rsidR="0013037C">
        <w:t>buitenschoolse opvang</w:t>
      </w:r>
      <w:r w:rsidRPr="00E31AD4">
        <w:t xml:space="preserve"> in het onderhavige besluit </w:t>
      </w:r>
      <w:r w:rsidR="00246DEA" w:rsidRPr="00E31AD4">
        <w:t xml:space="preserve">neemt </w:t>
      </w:r>
      <w:r w:rsidRPr="00E31AD4">
        <w:t>het knelpunt weg voor ouders waarvan werktijden niet overlappen met BSO-tijden</w:t>
      </w:r>
      <w:r w:rsidR="00D5713C">
        <w:t xml:space="preserve"> en is daarmee een gerichte maatregel. Het volledig loslaten van de KGU is een ingrijpender maatregel, met name budgettair gezien. Hier zijn geen middelen voor.</w:t>
      </w:r>
    </w:p>
    <w:p w14:paraId="5B0D6E5E" w14:textId="77777777" w:rsidR="001F7A25" w:rsidRDefault="001F7A25" w:rsidP="00135DCF"/>
    <w:p w14:paraId="2D4FFF77" w14:textId="77777777" w:rsidR="00135DCF" w:rsidRDefault="00135DCF" w:rsidP="00135DCF">
      <w:r>
        <w:t xml:space="preserve">Tot slot wordt gevraagd of de definitieve maximum uurprijzen eerder dan oktober 2021 gepubliceerd kunnen worden. Dit is niet mogelijk, omdat tijdens de totstandkoming van </w:t>
      </w:r>
      <w:r w:rsidR="0013037C">
        <w:t>dit b</w:t>
      </w:r>
      <w:r>
        <w:t>esluit een aantal verplichte stappen gevolgd moeten worden</w:t>
      </w:r>
      <w:r w:rsidR="0013037C">
        <w:t>,</w:t>
      </w:r>
      <w:r>
        <w:t xml:space="preserve"> waaronder een voorhangprocedure bij de Eerste en Tweede Kamer en advis</w:t>
      </w:r>
      <w:r w:rsidR="0013037C">
        <w:t>ering door de Afdeling advisering</w:t>
      </w:r>
      <w:r>
        <w:t xml:space="preserve"> van de Raad van State. De termijnen die hieraan vastzitten maken dat de definitieve maximum uurprijzen medio oktober gepubliceerd worden. </w:t>
      </w:r>
    </w:p>
    <w:p w14:paraId="7108409C" w14:textId="77777777" w:rsidR="0013037C" w:rsidRDefault="0013037C" w:rsidP="00135DCF"/>
    <w:p w14:paraId="64A38C58" w14:textId="77777777" w:rsidR="00590ACF" w:rsidRDefault="00135DCF" w:rsidP="00135DCF">
      <w:r>
        <w:t>Een aantal reacties ligt buiten de scope van dit besluit, zoals de hervorming van het toeslagenstelsel en het gratis maken van de kinderopvang. Hier wordt daarom niet verder op ingegaan.</w:t>
      </w:r>
    </w:p>
    <w:p w14:paraId="714BE68E" w14:textId="77777777" w:rsidR="00135DCF" w:rsidRDefault="00135DCF" w:rsidP="00135DCF">
      <w:pPr>
        <w:rPr>
          <w:b/>
        </w:rPr>
      </w:pPr>
    </w:p>
    <w:p w14:paraId="07D8C695" w14:textId="63FC4E2E" w:rsidR="00590ACF" w:rsidRDefault="00942D14" w:rsidP="00590ACF">
      <w:pPr>
        <w:spacing w:line="240" w:lineRule="auto"/>
        <w:rPr>
          <w:rFonts w:ascii="Times New Roman" w:hAnsi="Times New Roman"/>
          <w:sz w:val="24"/>
          <w:szCs w:val="24"/>
        </w:rPr>
      </w:pPr>
      <w:r>
        <w:rPr>
          <w:b/>
        </w:rPr>
        <w:t>9</w:t>
      </w:r>
      <w:r w:rsidR="00590ACF">
        <w:rPr>
          <w:b/>
        </w:rPr>
        <w:t>. Resultaten voorhangprocedure</w:t>
      </w:r>
      <w:r w:rsidR="00590ACF">
        <w:rPr>
          <w:b/>
        </w:rPr>
        <w:br/>
      </w:r>
      <w:r w:rsidR="00590ACF">
        <w:rPr>
          <w:b/>
        </w:rPr>
        <w:br/>
      </w:r>
      <w:r w:rsidR="00590ACF">
        <w:t xml:space="preserve">Dit besluit is op </w:t>
      </w:r>
      <w:r w:rsidR="00590ACF">
        <w:rPr>
          <w:highlight w:val="yellow"/>
        </w:rPr>
        <w:t>PM</w:t>
      </w:r>
      <w:r w:rsidR="00590ACF">
        <w:t xml:space="preserve"> aangeboden</w:t>
      </w:r>
      <w:r w:rsidR="00590ACF">
        <w:rPr>
          <w:rStyle w:val="Voetnootmarkering"/>
        </w:rPr>
        <w:footnoteReference w:id="8"/>
      </w:r>
      <w:r w:rsidR="00590ACF">
        <w:t xml:space="preserve"> aan de voorzitter van de Eerste en Tweede Kamer voor de op grond van artikel 3.4 van de Wet kinderopvang verplichte voorhangprocedure van vier weken. </w:t>
      </w:r>
      <w:r w:rsidR="00F17F6F">
        <w:br/>
      </w:r>
      <w:r w:rsidR="00590ACF">
        <w:t xml:space="preserve">PM: uitkomst voorhangprocedure. </w:t>
      </w:r>
    </w:p>
    <w:p w14:paraId="2246F24F" w14:textId="77777777" w:rsidR="00590ACF" w:rsidRDefault="00590ACF" w:rsidP="00590ACF"/>
    <w:p w14:paraId="16CA92AC" w14:textId="77777777" w:rsidR="00590ACF" w:rsidRPr="009A7426" w:rsidRDefault="00942D14" w:rsidP="00590ACF">
      <w:pPr>
        <w:rPr>
          <w:b/>
        </w:rPr>
      </w:pPr>
      <w:r>
        <w:rPr>
          <w:b/>
        </w:rPr>
        <w:t>10</w:t>
      </w:r>
      <w:r w:rsidR="00310721" w:rsidRPr="009A7426">
        <w:rPr>
          <w:b/>
        </w:rPr>
        <w:t>. Inwerkingtreding</w:t>
      </w:r>
    </w:p>
    <w:p w14:paraId="74699F62" w14:textId="77777777" w:rsidR="0013037C" w:rsidRDefault="0013037C" w:rsidP="0013037C">
      <w:r>
        <w:t>Dit besluit treedt in werking met ingang van 1 januari 2022 wordt uiterlijk twee maanden voor inwerkingtreding gepubliceerd. Daarmee is voldaan aan het kabinetsbeleid over vaste verandermomenten en de minimuminvoeringstermijn voor regelgeving, zoals neergelegd in aanwijzing 4.17 van de Aanwijzingen voor de regelgeving.</w:t>
      </w:r>
    </w:p>
    <w:p w14:paraId="131456B5" w14:textId="77777777" w:rsidR="0013037C" w:rsidRDefault="0013037C" w:rsidP="0013037C"/>
    <w:p w14:paraId="0E4F2B02" w14:textId="77777777" w:rsidR="0013037C" w:rsidRDefault="0013037C" w:rsidP="00590ACF">
      <w:r>
        <w:t>Een uitzondering geldt voor artikel I, onderdeel F. Dat onderdeel treedt in werking met ingang van de dag na de datum van publicatie van het Staatsblad waarin dit besluit wordt geplaatst en werkt terug tot en met 1 januari 2021. De reden daarvoor is dat de maatregel verband houdt met de ingrijpende gevolgen van COVID-19 op de kinderopvangsector en een begunstigende werking voor ouders heeft.</w:t>
      </w:r>
    </w:p>
    <w:p w14:paraId="0E31A99F" w14:textId="77777777" w:rsidR="00590ACF" w:rsidRDefault="00590ACF" w:rsidP="00590ACF"/>
    <w:p w14:paraId="2244ED97" w14:textId="77777777" w:rsidR="00590ACF" w:rsidRDefault="00590ACF" w:rsidP="00590ACF">
      <w:pPr>
        <w:rPr>
          <w:b/>
          <w:color w:val="auto"/>
          <w:szCs w:val="20"/>
        </w:rPr>
      </w:pPr>
      <w:r>
        <w:rPr>
          <w:b/>
        </w:rPr>
        <w:t>II ARTIKELSGEWIJS</w:t>
      </w:r>
    </w:p>
    <w:p w14:paraId="495B6F81" w14:textId="77777777" w:rsidR="00590ACF" w:rsidRDefault="00590ACF" w:rsidP="00590ACF">
      <w:pPr>
        <w:rPr>
          <w:b/>
        </w:rPr>
      </w:pPr>
    </w:p>
    <w:p w14:paraId="53D183CD" w14:textId="77777777" w:rsidR="00590ACF" w:rsidRDefault="00590ACF" w:rsidP="00590ACF">
      <w:r w:rsidRPr="00A944F6">
        <w:rPr>
          <w:b/>
        </w:rPr>
        <w:t>Artikel I, onderdel</w:t>
      </w:r>
      <w:r w:rsidR="0013037C">
        <w:rPr>
          <w:b/>
        </w:rPr>
        <w:t>en</w:t>
      </w:r>
      <w:r w:rsidRPr="00A944F6">
        <w:rPr>
          <w:b/>
        </w:rPr>
        <w:t xml:space="preserve"> A</w:t>
      </w:r>
      <w:r w:rsidR="0013037C">
        <w:rPr>
          <w:b/>
        </w:rPr>
        <w:t xml:space="preserve"> en B</w:t>
      </w:r>
      <w:r w:rsidRPr="00A944F6">
        <w:rPr>
          <w:b/>
        </w:rPr>
        <w:br/>
      </w:r>
      <w:r>
        <w:t>Artikel 4, eerste lid, van het Besluit kinderopvangtoeslag bevat de maximum uurprijzen voor de dagopvang, de buitenschoolse opvang en de gastouderopvang. Op grond van artikel 5 van het Besluit kinderopvangtoeslag worden jaarlijks de maximum uurprijzen van de kinderopvangtoeslag geïndexeerd. De indexatie is een gewogen gemiddelde van de ontwikkeling van de loonvoet bedrijven (80</w:t>
      </w:r>
      <w:r w:rsidR="00F37AF0">
        <w:t>%</w:t>
      </w:r>
      <w:r>
        <w:t>) en de ontwikkeling v</w:t>
      </w:r>
      <w:r w:rsidR="00B669F2">
        <w:t>an de consumentenprijsindex (20</w:t>
      </w:r>
      <w:r w:rsidR="00F37AF0">
        <w:t>%</w:t>
      </w:r>
      <w:r>
        <w:t xml:space="preserve">). </w:t>
      </w:r>
      <w:r w:rsidR="0013037C">
        <w:t>A</w:t>
      </w:r>
      <w:r>
        <w:t xml:space="preserve">rtikel I, onderdeel A, </w:t>
      </w:r>
      <w:r w:rsidR="0013037C">
        <w:t>stelt</w:t>
      </w:r>
      <w:r>
        <w:t xml:space="preserve"> de geïndexeerde maximum uurprijzen voor 2022 vast.</w:t>
      </w:r>
      <w:r w:rsidR="0013037C">
        <w:t xml:space="preserve"> Die indexatie gebeurt op de wijze die is geregeld in het nieuwe artikel 5a, dat is ingevoegd met artikel I, onderdeel B.</w:t>
      </w:r>
      <w:r>
        <w:br/>
      </w:r>
    </w:p>
    <w:p w14:paraId="27BA2471" w14:textId="77777777" w:rsidR="00A31430" w:rsidRDefault="00171545" w:rsidP="00590ACF">
      <w:r>
        <w:rPr>
          <w:b/>
        </w:rPr>
        <w:t>Artikel I, onderdeel C</w:t>
      </w:r>
      <w:r w:rsidR="00650A63">
        <w:rPr>
          <w:b/>
        </w:rPr>
        <w:br/>
      </w:r>
      <w:r w:rsidR="00A31430">
        <w:t>Het huidige artikel 7a heeft betrekking op</w:t>
      </w:r>
      <w:r w:rsidR="00E32D8C">
        <w:t xml:space="preserve"> het niet volledig toepassen van artikel 7 voor de aanpassing van de bedragen van </w:t>
      </w:r>
      <w:r w:rsidR="00A31430" w:rsidRPr="00650A63">
        <w:t>de bedragen van de toetsingsinkomens van de inkomensgroepen, bedoeld in </w:t>
      </w:r>
      <w:hyperlink r:id="rId8" w:anchor="Hoofdstuk2_Paragraaf1_Artikel6" w:history="1">
        <w:r w:rsidR="00A31430" w:rsidRPr="00650A63">
          <w:t>artikel 6</w:t>
        </w:r>
      </w:hyperlink>
      <w:r w:rsidR="00A31430" w:rsidRPr="00650A63">
        <w:t xml:space="preserve">, per 1 januari 2021. </w:t>
      </w:r>
      <w:r w:rsidR="00650A63" w:rsidRPr="00650A63">
        <w:t>Voor het jaar 2021 werden de toetsingsinkomens v</w:t>
      </w:r>
      <w:r w:rsidR="00B669F2">
        <w:t xml:space="preserve">an de </w:t>
      </w:r>
      <w:r w:rsidR="00F37AF0">
        <w:t>inkomensgroepen met 0,60 %-</w:t>
      </w:r>
      <w:r w:rsidR="00650A63" w:rsidRPr="00650A63">
        <w:t>punt minder geïndexeerd. Dit artikel had alleen betrekking op</w:t>
      </w:r>
      <w:r w:rsidR="00650A63">
        <w:t xml:space="preserve"> het jaar 2021. Het artikel vervalt</w:t>
      </w:r>
      <w:r w:rsidR="00310721">
        <w:t xml:space="preserve"> daarom</w:t>
      </w:r>
      <w:r w:rsidR="00650A63">
        <w:t>.</w:t>
      </w:r>
    </w:p>
    <w:p w14:paraId="2B14DC24" w14:textId="77777777" w:rsidR="000F5B79" w:rsidRDefault="000F5B79" w:rsidP="00590ACF"/>
    <w:p w14:paraId="5A4E29CB" w14:textId="77777777" w:rsidR="000F5B79" w:rsidRPr="00A944F6" w:rsidRDefault="00171545" w:rsidP="00590ACF">
      <w:pPr>
        <w:rPr>
          <w:b/>
        </w:rPr>
      </w:pPr>
      <w:r>
        <w:rPr>
          <w:b/>
        </w:rPr>
        <w:t>Artikel I, onderdeel D</w:t>
      </w:r>
    </w:p>
    <w:p w14:paraId="03A62CFD" w14:textId="77777777" w:rsidR="00590ACF" w:rsidRPr="00E9337E" w:rsidRDefault="00EC4E47" w:rsidP="00590ACF">
      <w:pPr>
        <w:rPr>
          <w:color w:val="auto"/>
        </w:rPr>
      </w:pPr>
      <w:r w:rsidRPr="00E9337E">
        <w:rPr>
          <w:rFonts w:cs="Arial"/>
          <w:color w:val="auto"/>
        </w:rPr>
        <w:t xml:space="preserve">In artikel 8, derde lid, van het Besluit kinderopvangtoeslag is vastgelegd vanaf welk toetsingsinkomen de ouder voor de kosten van kinderopvang van het eerste kind een kinderopvangtoeslag </w:t>
      </w:r>
      <w:r w:rsidR="00F37AF0" w:rsidRPr="00E9337E">
        <w:rPr>
          <w:rFonts w:cs="Arial"/>
          <w:color w:val="auto"/>
        </w:rPr>
        <w:t xml:space="preserve">ontvangt waarvan de hoogte 33,3 procent </w:t>
      </w:r>
      <w:r w:rsidRPr="00E9337E">
        <w:rPr>
          <w:rFonts w:cs="Arial"/>
          <w:color w:val="auto"/>
        </w:rPr>
        <w:t>van die kosten bedraagt. Waar in 2021 ouders met een toetsingsinkomen van </w:t>
      </w:r>
      <w:r w:rsidRPr="003978DC">
        <w:rPr>
          <w:rFonts w:cs="Arial"/>
          <w:color w:val="auto"/>
        </w:rPr>
        <w:t>€ </w:t>
      </w:r>
      <w:r w:rsidR="00310721">
        <w:rPr>
          <w:rFonts w:cs="Arial"/>
          <w:color w:val="333333"/>
        </w:rPr>
        <w:t>129.457</w:t>
      </w:r>
      <w:r w:rsidRPr="00E9337E">
        <w:rPr>
          <w:rFonts w:cs="Arial"/>
          <w:color w:val="auto"/>
        </w:rPr>
        <w:t xml:space="preserve"> en hoger kinderopvangtoeslag krijgen ter hoogte van de vaste voet, </w:t>
      </w:r>
      <w:r w:rsidR="00310721">
        <w:rPr>
          <w:rFonts w:cs="Arial"/>
          <w:color w:val="auto"/>
        </w:rPr>
        <w:t>is</w:t>
      </w:r>
      <w:r w:rsidR="00310721" w:rsidRPr="00E9337E">
        <w:rPr>
          <w:rFonts w:cs="Arial"/>
          <w:color w:val="auto"/>
        </w:rPr>
        <w:t xml:space="preserve"> </w:t>
      </w:r>
      <w:r w:rsidRPr="00E9337E">
        <w:rPr>
          <w:rFonts w:cs="Arial"/>
          <w:color w:val="auto"/>
        </w:rPr>
        <w:t xml:space="preserve">deze inkomensgrens in 2022 </w:t>
      </w:r>
      <w:r w:rsidR="00FE3ACD">
        <w:rPr>
          <w:rFonts w:cs="Arial"/>
          <w:color w:val="auto"/>
        </w:rPr>
        <w:t>verlaagd</w:t>
      </w:r>
      <w:r w:rsidR="00FE3ACD" w:rsidRPr="00E9337E">
        <w:rPr>
          <w:rFonts w:cs="Arial"/>
          <w:color w:val="auto"/>
        </w:rPr>
        <w:t xml:space="preserve"> </w:t>
      </w:r>
      <w:r w:rsidRPr="00E9337E">
        <w:rPr>
          <w:rFonts w:cs="Arial"/>
          <w:color w:val="auto"/>
        </w:rPr>
        <w:t xml:space="preserve">naar </w:t>
      </w:r>
      <w:r w:rsidRPr="003978DC">
        <w:rPr>
          <w:rFonts w:cs="Arial"/>
          <w:color w:val="auto"/>
        </w:rPr>
        <w:t>€ </w:t>
      </w:r>
      <w:r w:rsidR="00FE3ACD" w:rsidRPr="003978DC">
        <w:rPr>
          <w:rFonts w:cs="Arial"/>
          <w:color w:val="auto"/>
        </w:rPr>
        <w:t>127.939</w:t>
      </w:r>
      <w:r w:rsidRPr="003978DC">
        <w:rPr>
          <w:rFonts w:cs="Arial"/>
          <w:color w:val="auto"/>
        </w:rPr>
        <w:t>.</w:t>
      </w:r>
    </w:p>
    <w:p w14:paraId="19188A07" w14:textId="77777777" w:rsidR="00590ACF" w:rsidRDefault="00590ACF" w:rsidP="00590ACF"/>
    <w:p w14:paraId="5D73F726" w14:textId="77777777" w:rsidR="00EC4E47" w:rsidRPr="00A944F6" w:rsidRDefault="00590ACF" w:rsidP="00EC4E47">
      <w:pPr>
        <w:rPr>
          <w:b/>
        </w:rPr>
      </w:pPr>
      <w:r w:rsidRPr="00A944F6">
        <w:rPr>
          <w:b/>
        </w:rPr>
        <w:t xml:space="preserve">Artikel I, onderdeel </w:t>
      </w:r>
      <w:r w:rsidR="00171545">
        <w:rPr>
          <w:b/>
        </w:rPr>
        <w:t>E</w:t>
      </w:r>
    </w:p>
    <w:p w14:paraId="44DD4705" w14:textId="77777777" w:rsidR="00EC4E47" w:rsidRDefault="00EC4E47" w:rsidP="00EC4E47">
      <w:r>
        <w:t xml:space="preserve">In artikel 8a, eerste lid, onderdeel b onder 2°, wordt het percentage van het aantal gewerkte uren </w:t>
      </w:r>
      <w:r w:rsidR="00310721">
        <w:t xml:space="preserve">aangepast, </w:t>
      </w:r>
      <w:r>
        <w:t xml:space="preserve">van 70 procent naar 140 procent. 140 procent van het aantal gewerkte uren is gelijk aan de dagopvang. </w:t>
      </w:r>
    </w:p>
    <w:p w14:paraId="77FA58F7" w14:textId="77777777" w:rsidR="00590ACF" w:rsidRDefault="00590ACF" w:rsidP="00590ACF">
      <w:pPr>
        <w:rPr>
          <w:rFonts w:cs="Arial"/>
          <w:b/>
          <w:color w:val="auto"/>
        </w:rPr>
      </w:pPr>
      <w:r>
        <w:br/>
      </w:r>
      <w:r w:rsidR="00650A63" w:rsidRPr="009A7426">
        <w:rPr>
          <w:rFonts w:cs="Arial"/>
          <w:b/>
          <w:color w:val="auto"/>
        </w:rPr>
        <w:t xml:space="preserve">Artikel I, </w:t>
      </w:r>
      <w:r w:rsidR="00171545">
        <w:rPr>
          <w:rFonts w:cs="Arial"/>
          <w:b/>
          <w:color w:val="auto"/>
        </w:rPr>
        <w:t>onderdeel F</w:t>
      </w:r>
    </w:p>
    <w:p w14:paraId="5A33E6E0" w14:textId="77777777" w:rsidR="00210DA7" w:rsidRDefault="00210DA7" w:rsidP="00210DA7">
      <w:r>
        <w:t xml:space="preserve">Omdat vanwege COVID-19 de berekening van het recht op kinderopvangtoeslag in het berekeningsjaar 2021 net zoals in 2020 afwijkt van de wijze waarop deze toeslag normaal gesproken wordt berekend, is </w:t>
      </w:r>
      <w:r w:rsidR="0013037C">
        <w:t>de reikwijdte van artikel 8b uitgebreid. Daarmee is dat artikel, in afwijking van artikel 8a, ook van toepassing o</w:t>
      </w:r>
      <w:r>
        <w:t>p het berekeningsjaar 2021.</w:t>
      </w:r>
    </w:p>
    <w:p w14:paraId="142D15FD" w14:textId="77777777" w:rsidR="002655FA" w:rsidRDefault="002655FA" w:rsidP="00590ACF">
      <w:pPr>
        <w:rPr>
          <w:rFonts w:cs="Arial"/>
          <w:b/>
          <w:color w:val="auto"/>
        </w:rPr>
      </w:pPr>
    </w:p>
    <w:p w14:paraId="20B152FE" w14:textId="77777777" w:rsidR="002655FA" w:rsidRPr="009A7426" w:rsidRDefault="00171545" w:rsidP="00590ACF">
      <w:pPr>
        <w:rPr>
          <w:b/>
          <w:color w:val="auto"/>
        </w:rPr>
      </w:pPr>
      <w:r>
        <w:rPr>
          <w:rFonts w:cs="Arial"/>
          <w:b/>
          <w:color w:val="auto"/>
        </w:rPr>
        <w:t>Artikel I, onderdeel G</w:t>
      </w:r>
    </w:p>
    <w:p w14:paraId="4DC9AA12" w14:textId="77777777" w:rsidR="00590ACF" w:rsidRDefault="00590ACF" w:rsidP="00590ACF">
      <w:pPr>
        <w:rPr>
          <w:color w:val="auto"/>
        </w:rPr>
      </w:pPr>
      <w:r>
        <w:t xml:space="preserve">Met artikel I, onderdeel C, wordt bijlage I behorende bij het Besluit kinderopvangtoeslag vervangen door de bijlage behorende bij dit besluit. </w:t>
      </w:r>
    </w:p>
    <w:p w14:paraId="0CF3F34C" w14:textId="77777777" w:rsidR="00A944F6" w:rsidRDefault="00A944F6" w:rsidP="00590ACF"/>
    <w:p w14:paraId="05C96D00" w14:textId="5767E002" w:rsidR="00590ACF" w:rsidRDefault="00590ACF" w:rsidP="00590ACF">
      <w:r>
        <w:t xml:space="preserve">Deze nota van toelichting </w:t>
      </w:r>
      <w:r w:rsidR="004A2CC4">
        <w:t>wordt</w:t>
      </w:r>
      <w:r>
        <w:t xml:space="preserve"> ondertekend mede namens de Staatssecretaris van Financiën. </w:t>
      </w:r>
    </w:p>
    <w:p w14:paraId="1B6749EE" w14:textId="77777777" w:rsidR="00590ACF" w:rsidRDefault="00590ACF" w:rsidP="00590ACF">
      <w:pPr>
        <w:rPr>
          <w:b/>
          <w:szCs w:val="20"/>
        </w:rPr>
      </w:pPr>
    </w:p>
    <w:p w14:paraId="648BFA63" w14:textId="77777777" w:rsidR="00590ACF" w:rsidRDefault="00590ACF" w:rsidP="00590ACF">
      <w:pPr>
        <w:rPr>
          <w:b/>
        </w:rPr>
      </w:pPr>
    </w:p>
    <w:p w14:paraId="1D2D37A7" w14:textId="64A55936" w:rsidR="003C1DFF" w:rsidRDefault="003C1DFF" w:rsidP="00590ACF"/>
    <w:p w14:paraId="365C5F69" w14:textId="77777777" w:rsidR="003C1DFF" w:rsidRDefault="003C1DFF" w:rsidP="00590ACF"/>
    <w:p w14:paraId="6877B054" w14:textId="77777777" w:rsidR="003C1DFF" w:rsidRDefault="003C1DFF" w:rsidP="00590ACF"/>
    <w:p w14:paraId="69119A61" w14:textId="0ACFE588" w:rsidR="00590ACF" w:rsidRDefault="00590ACF" w:rsidP="00590ACF">
      <w:r>
        <w:t xml:space="preserve">De </w:t>
      </w:r>
      <w:r w:rsidR="00310721">
        <w:t xml:space="preserve">Minister </w:t>
      </w:r>
      <w:r>
        <w:t xml:space="preserve">van Sociale Zaken </w:t>
      </w:r>
    </w:p>
    <w:p w14:paraId="635C6316" w14:textId="77777777" w:rsidR="00590ACF" w:rsidRDefault="00590ACF" w:rsidP="00590ACF">
      <w:r>
        <w:t>en Werkgelegenheid,</w:t>
      </w:r>
    </w:p>
    <w:p w14:paraId="6A5239C0" w14:textId="61501453" w:rsidR="00A944F6" w:rsidRDefault="00A944F6" w:rsidP="00590ACF"/>
    <w:p w14:paraId="58289748" w14:textId="1A89C05E" w:rsidR="00F17F6F" w:rsidRDefault="00F17F6F" w:rsidP="00590ACF"/>
    <w:p w14:paraId="5D452EA5" w14:textId="77777777" w:rsidR="00E12D87" w:rsidRDefault="00E12D87" w:rsidP="00590ACF"/>
    <w:p w14:paraId="6F7E7721" w14:textId="77777777" w:rsidR="00A944F6" w:rsidRDefault="00A944F6" w:rsidP="00590ACF"/>
    <w:p w14:paraId="48EE221A" w14:textId="702EFD53" w:rsidR="00590ACF" w:rsidRDefault="00A944F6" w:rsidP="00C00A72">
      <w:r>
        <w:t>W. Koolmees</w:t>
      </w:r>
    </w:p>
    <w:sectPr w:rsidR="00590ACF">
      <w:headerReference w:type="even" r:id="rId9"/>
      <w:headerReference w:type="default" r:id="rId10"/>
      <w:footerReference w:type="even" r:id="rId11"/>
      <w:footerReference w:type="default" r:id="rId12"/>
      <w:headerReference w:type="first" r:id="rId13"/>
      <w:footerReference w:type="first" r:id="rId14"/>
      <w:pgSz w:w="11905" w:h="16837"/>
      <w:pgMar w:top="2948" w:right="1757" w:bottom="1547" w:left="2040"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C9255" w14:textId="77777777" w:rsidR="008E5514" w:rsidRDefault="008E5514">
      <w:pPr>
        <w:spacing w:line="240" w:lineRule="auto"/>
      </w:pPr>
      <w:r>
        <w:separator/>
      </w:r>
    </w:p>
  </w:endnote>
  <w:endnote w:type="continuationSeparator" w:id="0">
    <w:p w14:paraId="7A412CB3" w14:textId="77777777" w:rsidR="008E5514" w:rsidRDefault="008E55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CAA8C" w14:textId="77777777" w:rsidR="003A2D7C" w:rsidRDefault="003A2D7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5ABAF" w14:textId="77777777" w:rsidR="003A2D7C" w:rsidRDefault="003A2D7C">
    <w:pPr>
      <w:pStyle w:val="MarginlessContain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06A83" w14:textId="77777777" w:rsidR="003A2D7C" w:rsidRDefault="003A2D7C">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63F40" w14:textId="77777777" w:rsidR="008E5514" w:rsidRDefault="008E5514">
      <w:pPr>
        <w:spacing w:line="240" w:lineRule="auto"/>
      </w:pPr>
      <w:r>
        <w:separator/>
      </w:r>
    </w:p>
  </w:footnote>
  <w:footnote w:type="continuationSeparator" w:id="0">
    <w:p w14:paraId="69412014" w14:textId="77777777" w:rsidR="008E5514" w:rsidRDefault="008E5514">
      <w:pPr>
        <w:spacing w:line="240" w:lineRule="auto"/>
      </w:pPr>
      <w:r>
        <w:continuationSeparator/>
      </w:r>
    </w:p>
  </w:footnote>
  <w:footnote w:id="1">
    <w:p w14:paraId="6C674361" w14:textId="548628ED" w:rsidR="003A2D7C" w:rsidRPr="004F66E5" w:rsidRDefault="003A2D7C" w:rsidP="004F66E5">
      <w:pPr>
        <w:pStyle w:val="Voetnoottekst"/>
        <w:spacing w:line="240" w:lineRule="auto"/>
        <w:rPr>
          <w:sz w:val="16"/>
          <w:szCs w:val="16"/>
        </w:rPr>
      </w:pPr>
      <w:r w:rsidRPr="004F66E5">
        <w:rPr>
          <w:rStyle w:val="Voetnootmarkering"/>
          <w:sz w:val="16"/>
          <w:szCs w:val="16"/>
        </w:rPr>
        <w:footnoteRef/>
      </w:r>
      <w:r w:rsidRPr="004F66E5">
        <w:rPr>
          <w:sz w:val="16"/>
          <w:szCs w:val="16"/>
        </w:rPr>
        <w:t xml:space="preserve"> Kamerstukken II 2020/21, 35570 XV, nr. 2.</w:t>
      </w:r>
    </w:p>
  </w:footnote>
  <w:footnote w:id="2">
    <w:p w14:paraId="5090D2A7" w14:textId="72DC5322" w:rsidR="003A2D7C" w:rsidRPr="004F66E5" w:rsidRDefault="003A2D7C" w:rsidP="004F66E5">
      <w:pPr>
        <w:pStyle w:val="Voetnoottekst"/>
        <w:spacing w:line="240" w:lineRule="auto"/>
        <w:rPr>
          <w:sz w:val="16"/>
          <w:szCs w:val="16"/>
        </w:rPr>
      </w:pPr>
      <w:r w:rsidRPr="004F66E5">
        <w:rPr>
          <w:rStyle w:val="Voetnootmarkering"/>
          <w:sz w:val="16"/>
          <w:szCs w:val="16"/>
        </w:rPr>
        <w:footnoteRef/>
      </w:r>
      <w:r w:rsidRPr="004F66E5">
        <w:rPr>
          <w:sz w:val="16"/>
          <w:szCs w:val="16"/>
        </w:rPr>
        <w:t xml:space="preserve"> Kamerstukken II 2020/21, 35574, nr. 13</w:t>
      </w:r>
    </w:p>
  </w:footnote>
  <w:footnote w:id="3">
    <w:p w14:paraId="5EEE3898" w14:textId="096E3538" w:rsidR="003A2D7C" w:rsidRPr="004F66E5" w:rsidRDefault="003A2D7C" w:rsidP="004F66E5">
      <w:pPr>
        <w:pStyle w:val="Voetnoottekst"/>
        <w:spacing w:line="240" w:lineRule="auto"/>
        <w:rPr>
          <w:sz w:val="16"/>
          <w:szCs w:val="16"/>
        </w:rPr>
      </w:pPr>
      <w:r w:rsidRPr="004F66E5">
        <w:rPr>
          <w:rStyle w:val="Voetnootmarkering"/>
          <w:sz w:val="16"/>
          <w:szCs w:val="16"/>
        </w:rPr>
        <w:footnoteRef/>
      </w:r>
      <w:r w:rsidRPr="004F66E5">
        <w:rPr>
          <w:sz w:val="16"/>
          <w:szCs w:val="16"/>
        </w:rPr>
        <w:t xml:space="preserve"> Kamerstukken II 2020/21, 35574, nr. 12</w:t>
      </w:r>
    </w:p>
  </w:footnote>
  <w:footnote w:id="4">
    <w:p w14:paraId="73FDF695" w14:textId="77777777" w:rsidR="003A2D7C" w:rsidRPr="004F66E5" w:rsidRDefault="003A2D7C" w:rsidP="004F66E5">
      <w:pPr>
        <w:pStyle w:val="Voetnoottekst"/>
        <w:spacing w:line="240" w:lineRule="auto"/>
        <w:rPr>
          <w:sz w:val="16"/>
          <w:szCs w:val="16"/>
        </w:rPr>
      </w:pPr>
      <w:r w:rsidRPr="004F66E5">
        <w:rPr>
          <w:rStyle w:val="Voetnootmarkering"/>
          <w:sz w:val="16"/>
          <w:szCs w:val="16"/>
        </w:rPr>
        <w:footnoteRef/>
      </w:r>
      <w:r w:rsidRPr="004F66E5">
        <w:rPr>
          <w:sz w:val="16"/>
          <w:szCs w:val="16"/>
        </w:rPr>
        <w:t xml:space="preserve"> Eerste, Tweede, Derde en Vierde tijdelijke noodmaatregel overbrugging voor behoud van werkgelegenheid. </w:t>
      </w:r>
    </w:p>
  </w:footnote>
  <w:footnote w:id="5">
    <w:p w14:paraId="70E9AA63" w14:textId="77777777" w:rsidR="003A2D7C" w:rsidRPr="004F66E5" w:rsidRDefault="003A2D7C" w:rsidP="004F66E5">
      <w:pPr>
        <w:pStyle w:val="Voetnoottekst"/>
        <w:spacing w:line="240" w:lineRule="auto"/>
        <w:rPr>
          <w:sz w:val="16"/>
          <w:szCs w:val="16"/>
        </w:rPr>
      </w:pPr>
      <w:r w:rsidRPr="004F66E5">
        <w:rPr>
          <w:rStyle w:val="Voetnootmarkering"/>
          <w:sz w:val="16"/>
          <w:szCs w:val="16"/>
        </w:rPr>
        <w:footnoteRef/>
      </w:r>
      <w:r w:rsidRPr="004F66E5">
        <w:rPr>
          <w:sz w:val="16"/>
          <w:szCs w:val="16"/>
        </w:rPr>
        <w:t xml:space="preserve"> Zoals toegelicht in het CEP 2021 in voetnoot 7 op pagina 19.</w:t>
      </w:r>
    </w:p>
  </w:footnote>
  <w:footnote w:id="6">
    <w:p w14:paraId="4F3A8655" w14:textId="77777777" w:rsidR="003A2D7C" w:rsidRPr="004F66E5" w:rsidRDefault="003A2D7C" w:rsidP="004F66E5">
      <w:pPr>
        <w:pStyle w:val="Voetnoottekst"/>
        <w:spacing w:line="240" w:lineRule="auto"/>
        <w:rPr>
          <w:sz w:val="16"/>
          <w:szCs w:val="16"/>
        </w:rPr>
      </w:pPr>
      <w:r w:rsidRPr="004F66E5">
        <w:rPr>
          <w:rStyle w:val="Voetnootmarkering"/>
          <w:sz w:val="16"/>
          <w:szCs w:val="16"/>
        </w:rPr>
        <w:footnoteRef/>
      </w:r>
      <w:r w:rsidRPr="004F66E5">
        <w:rPr>
          <w:sz w:val="16"/>
          <w:szCs w:val="16"/>
        </w:rPr>
        <w:t xml:space="preserve"> Voetnoot </w:t>
      </w:r>
      <w:r w:rsidRPr="004F66E5">
        <w:rPr>
          <w:i/>
          <w:sz w:val="16"/>
          <w:szCs w:val="16"/>
        </w:rPr>
        <w:t>d</w:t>
      </w:r>
      <w:r w:rsidRPr="004F66E5">
        <w:rPr>
          <w:sz w:val="16"/>
          <w:szCs w:val="16"/>
        </w:rPr>
        <w:t xml:space="preserve"> op pagina 13 van het CEP 2021 luidt: “De loonkostensubsidie NOW, en de continuïteitsbijdrage in de zorg, hebben een opwaarts effect op de loonvoetmutatie bedrijven in 2020 van 3,4%-punt en een neerwaarts effect van 1,7%-punt in 2021 en 1,4%-punt in 2022.”</w:t>
      </w:r>
    </w:p>
  </w:footnote>
  <w:footnote w:id="7">
    <w:p w14:paraId="13405A27" w14:textId="77777777" w:rsidR="003A2D7C" w:rsidRPr="004F66E5" w:rsidRDefault="003A2D7C" w:rsidP="004F66E5">
      <w:pPr>
        <w:pStyle w:val="Voetnoottekst"/>
        <w:spacing w:line="240" w:lineRule="auto"/>
        <w:rPr>
          <w:sz w:val="16"/>
          <w:szCs w:val="16"/>
        </w:rPr>
      </w:pPr>
      <w:r w:rsidRPr="004F66E5">
        <w:rPr>
          <w:rStyle w:val="Voetnootmarkering"/>
          <w:sz w:val="16"/>
          <w:szCs w:val="16"/>
        </w:rPr>
        <w:footnoteRef/>
      </w:r>
      <w:r w:rsidRPr="004F66E5">
        <w:rPr>
          <w:sz w:val="16"/>
          <w:szCs w:val="16"/>
        </w:rPr>
        <w:t xml:space="preserve"> De bedragen zijn ingevuld op basis van het CEP dat het Centraal Planbureau (CPB) op 31 maart 2021 publiceerde. </w:t>
      </w:r>
    </w:p>
  </w:footnote>
  <w:footnote w:id="8">
    <w:p w14:paraId="26CF3388" w14:textId="77777777" w:rsidR="003A2D7C" w:rsidRPr="004F66E5" w:rsidRDefault="003A2D7C" w:rsidP="004F66E5">
      <w:pPr>
        <w:pStyle w:val="Voetnoottekst"/>
        <w:spacing w:line="240" w:lineRule="auto"/>
        <w:rPr>
          <w:sz w:val="16"/>
          <w:szCs w:val="16"/>
        </w:rPr>
      </w:pPr>
      <w:r w:rsidRPr="004F66E5">
        <w:rPr>
          <w:rStyle w:val="Voetnootmarkering"/>
          <w:sz w:val="16"/>
          <w:szCs w:val="16"/>
        </w:rPr>
        <w:footnoteRef/>
      </w:r>
      <w:r w:rsidRPr="004F66E5">
        <w:rPr>
          <w:sz w:val="16"/>
          <w:szCs w:val="16"/>
        </w:rPr>
        <w:t xml:space="preserve"> </w:t>
      </w:r>
      <w:r w:rsidRPr="004F66E5">
        <w:rPr>
          <w:sz w:val="16"/>
          <w:szCs w:val="16"/>
          <w:highlight w:val="yellow"/>
        </w:rPr>
        <w:t>PM</w:t>
      </w:r>
      <w:r w:rsidRPr="004F66E5">
        <w:rPr>
          <w:sz w:val="16"/>
          <w:szCs w:val="16"/>
        </w:rPr>
        <w:t xml:space="preserve"> verwijzing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9B2EE" w14:textId="77777777" w:rsidR="003A2D7C" w:rsidRDefault="003A2D7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8A3A3" w14:textId="77777777" w:rsidR="003A2D7C" w:rsidRDefault="003A2D7C">
    <w:pPr>
      <w:pStyle w:val="MarginlessContainer"/>
    </w:pPr>
    <w:r>
      <w:rPr>
        <w:noProof/>
      </w:rPr>
      <mc:AlternateContent>
        <mc:Choice Requires="wps">
          <w:drawing>
            <wp:anchor distT="0" distB="0" distL="0" distR="0" simplePos="0" relativeHeight="251657216" behindDoc="0" locked="1" layoutInCell="1" allowOverlap="1" wp14:anchorId="0899B628" wp14:editId="0BEDDEB2">
              <wp:simplePos x="0" y="0"/>
              <wp:positionH relativeFrom="page">
                <wp:posOffset>5183505</wp:posOffset>
              </wp:positionH>
              <wp:positionV relativeFrom="page">
                <wp:posOffset>9809480</wp:posOffset>
              </wp:positionV>
              <wp:extent cx="1259840" cy="179705"/>
              <wp:effectExtent l="0" t="0" r="0" b="0"/>
              <wp:wrapNone/>
              <wp:docPr id="3" name="Region 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F07ED2F" w14:textId="77777777" w:rsidR="003A2D7C" w:rsidRDefault="003A2D7C"/>
                      </w:txbxContent>
                    </wps:txbx>
                    <wps:bodyPr vert="horz" wrap="square" lIns="0" tIns="0" rIns="0" bIns="0" anchor="t" anchorCtr="0"/>
                  </wps:wsp>
                </a:graphicData>
              </a:graphic>
            </wp:anchor>
          </w:drawing>
        </mc:Choice>
        <mc:Fallback>
          <w:pict>
            <v:shapetype w14:anchorId="19B8BC54" id="_x0000_t202" coordsize="21600,21600" o:spt="202" path="m,l,21600r21600,l21600,xe">
              <v:stroke joinstyle="miter"/>
              <v:path gradientshapeok="t" o:connecttype="rect"/>
            </v:shapetype>
            <v:shape id="Region 2" o:spid="_x0000_s1026" type="#_x0000_t202" style="position:absolute;margin-left:408.15pt;margin-top:772.4pt;width:99.2pt;height:14.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" filled="f" stroked="f">
              <v:textbox inset="0,0,0,0">
                <w:txbxContent>
                  <w:p w:rsidR="003A2D7C" w:rsidRDefault="003A2D7C"/>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EC53C" w14:textId="77777777" w:rsidR="003A2D7C" w:rsidRDefault="003A2D7C">
    <w:pPr>
      <w:pStyle w:val="MarginlessContainer"/>
      <w:spacing w:after="4960" w:line="14" w:lineRule="exact"/>
    </w:pPr>
    <w:r>
      <w:rPr>
        <w:noProof/>
      </w:rPr>
      <mc:AlternateContent>
        <mc:Choice Requires="wps">
          <w:drawing>
            <wp:anchor distT="0" distB="0" distL="0" distR="0" simplePos="0" relativeHeight="251658240" behindDoc="0" locked="1" layoutInCell="1" allowOverlap="1" wp14:anchorId="3F85150D" wp14:editId="6F856B03">
              <wp:simplePos x="0" y="0"/>
              <wp:positionH relativeFrom="page">
                <wp:posOffset>0</wp:posOffset>
              </wp:positionH>
              <wp:positionV relativeFrom="page">
                <wp:posOffset>0</wp:posOffset>
              </wp:positionV>
              <wp:extent cx="6580505" cy="2353945"/>
              <wp:effectExtent l="0" t="0" r="0" b="0"/>
              <wp:wrapNone/>
              <wp:docPr id="1" name="Region 1"/>
              <wp:cNvGraphicFramePr/>
              <a:graphic xmlns:a="http://schemas.openxmlformats.org/drawingml/2006/main">
                <a:graphicData uri="http://schemas.microsoft.com/office/word/2010/wordprocessingShape">
                  <wps:wsp>
                    <wps:cNvSpPr txBox="1"/>
                    <wps:spPr>
                      <a:xfrm>
                        <a:off x="0" y="0"/>
                        <a:ext cx="6580505" cy="2353945"/>
                      </a:xfrm>
                      <a:prstGeom prst="rect">
                        <a:avLst/>
                      </a:prstGeom>
                      <a:noFill/>
                    </wps:spPr>
                    <wps:txbx>
                      <w:txbxContent>
                        <w:p w14:paraId="31A73255" w14:textId="77777777" w:rsidR="003A2D7C" w:rsidRDefault="003A2D7C">
                          <w:pPr>
                            <w:pStyle w:val="MarginlessContainer"/>
                          </w:pPr>
                          <w:r>
                            <w:rPr>
                              <w:noProof/>
                            </w:rPr>
                            <w:drawing>
                              <wp:inline distT="0" distB="0" distL="0" distR="0" wp14:anchorId="3473A510" wp14:editId="53901860">
                                <wp:extent cx="6580505" cy="2349962"/>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580505" cy="2349962"/>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DA57C39" id="_x0000_t202" coordsize="21600,21600" o:spt="202" path="m,l,21600r21600,l21600,xe">
              <v:stroke joinstyle="miter"/>
              <v:path gradientshapeok="t" o:connecttype="rect"/>
            </v:shapetype>
            <v:shape id="Region 1" o:spid="_x0000_s1027" type="#_x0000_t202" style="position:absolute;margin-left:0;margin-top:0;width:518.15pt;height:185.3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" filled="f" stroked="f">
              <v:textbox inset="0,0,0,0">
                <w:txbxContent>
                  <w:p w:rsidR="003A2D7C" w:rsidRDefault="003A2D7C">
                    <w:pPr>
                      <w:pStyle w:val="MarginlessContainer"/>
                    </w:pPr>
                    <w:r>
                      <w:rPr>
                        <w:noProof/>
                      </w:rPr>
                      <w:drawing>
                        <wp:inline distT="0" distB="0" distL="0" distR="0" wp14:anchorId="6DDB63DF" wp14:editId="149347C4">
                          <wp:extent cx="6580505" cy="2349962"/>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2"/>
                                  <a:stretch>
                                    <a:fillRect/>
                                  </a:stretch>
                                </pic:blipFill>
                                <pic:spPr bwMode="auto">
                                  <a:xfrm>
                                    <a:off x="0" y="0"/>
                                    <a:ext cx="6580505" cy="2349962"/>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86768C"/>
    <w:multiLevelType w:val="multilevel"/>
    <w:tmpl w:val="544B268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6618F13"/>
    <w:multiLevelType w:val="multilevel"/>
    <w:tmpl w:val="3630D842"/>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F97EC96"/>
    <w:multiLevelType w:val="multilevel"/>
    <w:tmpl w:val="6B36EC94"/>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6AAD022"/>
    <w:multiLevelType w:val="multilevel"/>
    <w:tmpl w:val="295EA1B1"/>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808E9BC"/>
    <w:multiLevelType w:val="multilevel"/>
    <w:tmpl w:val="B1EAA0A4"/>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2C24D5"/>
    <w:multiLevelType w:val="multilevel"/>
    <w:tmpl w:val="E22407C8"/>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A071E83"/>
    <w:multiLevelType w:val="hybridMultilevel"/>
    <w:tmpl w:val="81AAE876"/>
    <w:lvl w:ilvl="0" w:tplc="0986AC40">
      <w:start w:val="2"/>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5CF"/>
    <w:rsid w:val="000120DA"/>
    <w:rsid w:val="00014CCA"/>
    <w:rsid w:val="00015203"/>
    <w:rsid w:val="00022216"/>
    <w:rsid w:val="000227AE"/>
    <w:rsid w:val="00025F4F"/>
    <w:rsid w:val="00054DA8"/>
    <w:rsid w:val="00066C9F"/>
    <w:rsid w:val="00092E2C"/>
    <w:rsid w:val="000A02F6"/>
    <w:rsid w:val="000B000C"/>
    <w:rsid w:val="000C3DE9"/>
    <w:rsid w:val="000C466C"/>
    <w:rsid w:val="000C5A37"/>
    <w:rsid w:val="000D25E3"/>
    <w:rsid w:val="000E14F0"/>
    <w:rsid w:val="000F5B79"/>
    <w:rsid w:val="00103154"/>
    <w:rsid w:val="00111B95"/>
    <w:rsid w:val="001129B5"/>
    <w:rsid w:val="0011765D"/>
    <w:rsid w:val="00117705"/>
    <w:rsid w:val="001272B7"/>
    <w:rsid w:val="0013037C"/>
    <w:rsid w:val="00135DCF"/>
    <w:rsid w:val="00152A0F"/>
    <w:rsid w:val="00157A7E"/>
    <w:rsid w:val="00171545"/>
    <w:rsid w:val="0017584C"/>
    <w:rsid w:val="0018353B"/>
    <w:rsid w:val="00183B47"/>
    <w:rsid w:val="00190699"/>
    <w:rsid w:val="001B119D"/>
    <w:rsid w:val="001B2D7D"/>
    <w:rsid w:val="001C7F3A"/>
    <w:rsid w:val="001E3032"/>
    <w:rsid w:val="001E6CAD"/>
    <w:rsid w:val="001F7A25"/>
    <w:rsid w:val="002037A9"/>
    <w:rsid w:val="0020505F"/>
    <w:rsid w:val="00210DA7"/>
    <w:rsid w:val="00211E63"/>
    <w:rsid w:val="00211F76"/>
    <w:rsid w:val="0021521C"/>
    <w:rsid w:val="002162DE"/>
    <w:rsid w:val="002214C6"/>
    <w:rsid w:val="002235FD"/>
    <w:rsid w:val="00236CAA"/>
    <w:rsid w:val="00246DEA"/>
    <w:rsid w:val="002473B5"/>
    <w:rsid w:val="0025180E"/>
    <w:rsid w:val="002655FA"/>
    <w:rsid w:val="00265959"/>
    <w:rsid w:val="00284636"/>
    <w:rsid w:val="002A3AF1"/>
    <w:rsid w:val="002A58B4"/>
    <w:rsid w:val="002A6FAC"/>
    <w:rsid w:val="002B01BA"/>
    <w:rsid w:val="002B5CA0"/>
    <w:rsid w:val="002B5CFE"/>
    <w:rsid w:val="002B7EDC"/>
    <w:rsid w:val="002D1534"/>
    <w:rsid w:val="002D6D14"/>
    <w:rsid w:val="002D7C71"/>
    <w:rsid w:val="002E5260"/>
    <w:rsid w:val="002F5279"/>
    <w:rsid w:val="00310721"/>
    <w:rsid w:val="00312E37"/>
    <w:rsid w:val="00315BB6"/>
    <w:rsid w:val="00347F79"/>
    <w:rsid w:val="00351FED"/>
    <w:rsid w:val="00363CE3"/>
    <w:rsid w:val="0036607F"/>
    <w:rsid w:val="00377127"/>
    <w:rsid w:val="00385AA4"/>
    <w:rsid w:val="00385D37"/>
    <w:rsid w:val="003939A8"/>
    <w:rsid w:val="00395D9B"/>
    <w:rsid w:val="003978DC"/>
    <w:rsid w:val="003A2D7C"/>
    <w:rsid w:val="003C1DFF"/>
    <w:rsid w:val="003F71D7"/>
    <w:rsid w:val="004028EE"/>
    <w:rsid w:val="004249D9"/>
    <w:rsid w:val="004278FE"/>
    <w:rsid w:val="00430C4C"/>
    <w:rsid w:val="00446DE5"/>
    <w:rsid w:val="00453880"/>
    <w:rsid w:val="00455C36"/>
    <w:rsid w:val="0046453C"/>
    <w:rsid w:val="00464A94"/>
    <w:rsid w:val="00465EB4"/>
    <w:rsid w:val="004665E6"/>
    <w:rsid w:val="0046670D"/>
    <w:rsid w:val="00475830"/>
    <w:rsid w:val="00480B59"/>
    <w:rsid w:val="00484830"/>
    <w:rsid w:val="00491553"/>
    <w:rsid w:val="00493884"/>
    <w:rsid w:val="004A2CC4"/>
    <w:rsid w:val="004C4CB5"/>
    <w:rsid w:val="004D0A76"/>
    <w:rsid w:val="004D3B7F"/>
    <w:rsid w:val="004E5D6C"/>
    <w:rsid w:val="004E7458"/>
    <w:rsid w:val="004F2422"/>
    <w:rsid w:val="004F66E5"/>
    <w:rsid w:val="004F7517"/>
    <w:rsid w:val="00506A89"/>
    <w:rsid w:val="00512D78"/>
    <w:rsid w:val="00522B85"/>
    <w:rsid w:val="00534048"/>
    <w:rsid w:val="005371BD"/>
    <w:rsid w:val="00540196"/>
    <w:rsid w:val="00550EF8"/>
    <w:rsid w:val="005619A1"/>
    <w:rsid w:val="00562355"/>
    <w:rsid w:val="00576CAD"/>
    <w:rsid w:val="005877F4"/>
    <w:rsid w:val="0059062A"/>
    <w:rsid w:val="00590ACF"/>
    <w:rsid w:val="0059305D"/>
    <w:rsid w:val="005A48F0"/>
    <w:rsid w:val="005B7A26"/>
    <w:rsid w:val="005D4E31"/>
    <w:rsid w:val="005D5FF7"/>
    <w:rsid w:val="005E44C4"/>
    <w:rsid w:val="005E7DEE"/>
    <w:rsid w:val="00601C2B"/>
    <w:rsid w:val="006169E9"/>
    <w:rsid w:val="006262B0"/>
    <w:rsid w:val="00626F20"/>
    <w:rsid w:val="00650A63"/>
    <w:rsid w:val="00656BDA"/>
    <w:rsid w:val="00661DD9"/>
    <w:rsid w:val="00662610"/>
    <w:rsid w:val="00662D68"/>
    <w:rsid w:val="00670417"/>
    <w:rsid w:val="00687864"/>
    <w:rsid w:val="006B135C"/>
    <w:rsid w:val="006D05AA"/>
    <w:rsid w:val="006D41E5"/>
    <w:rsid w:val="006F609B"/>
    <w:rsid w:val="006F646D"/>
    <w:rsid w:val="00703D52"/>
    <w:rsid w:val="007054C9"/>
    <w:rsid w:val="00721F04"/>
    <w:rsid w:val="00724311"/>
    <w:rsid w:val="0072665E"/>
    <w:rsid w:val="00735660"/>
    <w:rsid w:val="00743303"/>
    <w:rsid w:val="00745A76"/>
    <w:rsid w:val="007616B2"/>
    <w:rsid w:val="00766358"/>
    <w:rsid w:val="00785F20"/>
    <w:rsid w:val="007955D0"/>
    <w:rsid w:val="00795B96"/>
    <w:rsid w:val="007A76E8"/>
    <w:rsid w:val="007B4D6B"/>
    <w:rsid w:val="007D70EC"/>
    <w:rsid w:val="007E23E8"/>
    <w:rsid w:val="007F4E46"/>
    <w:rsid w:val="007F507A"/>
    <w:rsid w:val="00804FA9"/>
    <w:rsid w:val="00827A6C"/>
    <w:rsid w:val="008356C5"/>
    <w:rsid w:val="008374AC"/>
    <w:rsid w:val="008603C4"/>
    <w:rsid w:val="0088007B"/>
    <w:rsid w:val="008B7A17"/>
    <w:rsid w:val="008C057F"/>
    <w:rsid w:val="008D7A88"/>
    <w:rsid w:val="008E5514"/>
    <w:rsid w:val="008E650D"/>
    <w:rsid w:val="0091411D"/>
    <w:rsid w:val="009179C9"/>
    <w:rsid w:val="009242B7"/>
    <w:rsid w:val="00926E66"/>
    <w:rsid w:val="00936A38"/>
    <w:rsid w:val="00942D14"/>
    <w:rsid w:val="009452D1"/>
    <w:rsid w:val="00947869"/>
    <w:rsid w:val="00964861"/>
    <w:rsid w:val="00964983"/>
    <w:rsid w:val="00970B2C"/>
    <w:rsid w:val="009861A5"/>
    <w:rsid w:val="00991A83"/>
    <w:rsid w:val="00997EFF"/>
    <w:rsid w:val="009A7426"/>
    <w:rsid w:val="009C6BA7"/>
    <w:rsid w:val="009C7D23"/>
    <w:rsid w:val="009C7E7C"/>
    <w:rsid w:val="009E1CF7"/>
    <w:rsid w:val="009F39FB"/>
    <w:rsid w:val="009F64C7"/>
    <w:rsid w:val="00A135CF"/>
    <w:rsid w:val="00A31430"/>
    <w:rsid w:val="00A338C1"/>
    <w:rsid w:val="00A52B1B"/>
    <w:rsid w:val="00A537F1"/>
    <w:rsid w:val="00A54A67"/>
    <w:rsid w:val="00A81481"/>
    <w:rsid w:val="00A944F6"/>
    <w:rsid w:val="00AA1786"/>
    <w:rsid w:val="00AA301D"/>
    <w:rsid w:val="00AA3BFC"/>
    <w:rsid w:val="00AA5F7A"/>
    <w:rsid w:val="00AC04D9"/>
    <w:rsid w:val="00AC2039"/>
    <w:rsid w:val="00AF5CF0"/>
    <w:rsid w:val="00B155CE"/>
    <w:rsid w:val="00B15D8C"/>
    <w:rsid w:val="00B27832"/>
    <w:rsid w:val="00B33B7F"/>
    <w:rsid w:val="00B35B31"/>
    <w:rsid w:val="00B669F2"/>
    <w:rsid w:val="00B70534"/>
    <w:rsid w:val="00B944B2"/>
    <w:rsid w:val="00BA597E"/>
    <w:rsid w:val="00BC4AE4"/>
    <w:rsid w:val="00BC6B18"/>
    <w:rsid w:val="00BE4637"/>
    <w:rsid w:val="00BF243C"/>
    <w:rsid w:val="00BF464C"/>
    <w:rsid w:val="00C00A72"/>
    <w:rsid w:val="00C21841"/>
    <w:rsid w:val="00C25943"/>
    <w:rsid w:val="00C52BB2"/>
    <w:rsid w:val="00C61BDC"/>
    <w:rsid w:val="00C93361"/>
    <w:rsid w:val="00CB0CBB"/>
    <w:rsid w:val="00CB3D5B"/>
    <w:rsid w:val="00CB6488"/>
    <w:rsid w:val="00CC50CD"/>
    <w:rsid w:val="00CE16B0"/>
    <w:rsid w:val="00CE6B57"/>
    <w:rsid w:val="00CE7B8F"/>
    <w:rsid w:val="00CF3F3D"/>
    <w:rsid w:val="00D0163B"/>
    <w:rsid w:val="00D024A2"/>
    <w:rsid w:val="00D108F7"/>
    <w:rsid w:val="00D253A5"/>
    <w:rsid w:val="00D35348"/>
    <w:rsid w:val="00D45486"/>
    <w:rsid w:val="00D45538"/>
    <w:rsid w:val="00D45718"/>
    <w:rsid w:val="00D50EB8"/>
    <w:rsid w:val="00D5713C"/>
    <w:rsid w:val="00D60031"/>
    <w:rsid w:val="00D70564"/>
    <w:rsid w:val="00D740C2"/>
    <w:rsid w:val="00D859FE"/>
    <w:rsid w:val="00D9418B"/>
    <w:rsid w:val="00DA1F8D"/>
    <w:rsid w:val="00DA7520"/>
    <w:rsid w:val="00DB72DA"/>
    <w:rsid w:val="00E01EED"/>
    <w:rsid w:val="00E12D87"/>
    <w:rsid w:val="00E31AD4"/>
    <w:rsid w:val="00E32D8C"/>
    <w:rsid w:val="00E33093"/>
    <w:rsid w:val="00E42E9F"/>
    <w:rsid w:val="00E43082"/>
    <w:rsid w:val="00E44461"/>
    <w:rsid w:val="00E52D4A"/>
    <w:rsid w:val="00E54BC2"/>
    <w:rsid w:val="00E563D2"/>
    <w:rsid w:val="00E62B6B"/>
    <w:rsid w:val="00E64B3A"/>
    <w:rsid w:val="00E710C1"/>
    <w:rsid w:val="00E82F19"/>
    <w:rsid w:val="00E841DB"/>
    <w:rsid w:val="00E91595"/>
    <w:rsid w:val="00E9337E"/>
    <w:rsid w:val="00E94415"/>
    <w:rsid w:val="00EA425E"/>
    <w:rsid w:val="00EA623A"/>
    <w:rsid w:val="00EC44FD"/>
    <w:rsid w:val="00EC4E47"/>
    <w:rsid w:val="00ED0780"/>
    <w:rsid w:val="00ED1B03"/>
    <w:rsid w:val="00ED56E4"/>
    <w:rsid w:val="00EE029A"/>
    <w:rsid w:val="00EE656A"/>
    <w:rsid w:val="00F02B23"/>
    <w:rsid w:val="00F157D2"/>
    <w:rsid w:val="00F17F6F"/>
    <w:rsid w:val="00F32A93"/>
    <w:rsid w:val="00F37AF0"/>
    <w:rsid w:val="00F37B50"/>
    <w:rsid w:val="00F415BA"/>
    <w:rsid w:val="00F42266"/>
    <w:rsid w:val="00F45FA7"/>
    <w:rsid w:val="00F4635D"/>
    <w:rsid w:val="00F4640A"/>
    <w:rsid w:val="00F51F40"/>
    <w:rsid w:val="00F52F55"/>
    <w:rsid w:val="00F574ED"/>
    <w:rsid w:val="00F624CB"/>
    <w:rsid w:val="00F72ED8"/>
    <w:rsid w:val="00F95159"/>
    <w:rsid w:val="00FA3128"/>
    <w:rsid w:val="00FC7055"/>
    <w:rsid w:val="00FE3A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71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5"/>
      </w:numPr>
      <w:spacing w:after="700" w:line="300" w:lineRule="exact"/>
      <w:outlineLvl w:val="0"/>
    </w:pPr>
    <w:rPr>
      <w:sz w:val="24"/>
      <w:szCs w:val="24"/>
    </w:rPr>
  </w:style>
  <w:style w:type="paragraph" w:styleId="Kop2">
    <w:name w:val="heading 2"/>
    <w:basedOn w:val="Standaard"/>
    <w:next w:val="Standaard"/>
    <w:uiPriority w:val="2"/>
    <w:qFormat/>
    <w:pPr>
      <w:numPr>
        <w:ilvl w:val="1"/>
        <w:numId w:val="5"/>
      </w:numPr>
      <w:spacing w:before="240" w:line="240" w:lineRule="exact"/>
      <w:outlineLvl w:val="1"/>
    </w:pPr>
    <w:rPr>
      <w:b/>
    </w:rPr>
  </w:style>
  <w:style w:type="paragraph" w:styleId="Kop3">
    <w:name w:val="heading 3"/>
    <w:basedOn w:val="Standaard"/>
    <w:next w:val="Standaard"/>
    <w:uiPriority w:val="3"/>
    <w:qFormat/>
    <w:pPr>
      <w:numPr>
        <w:ilvl w:val="2"/>
        <w:numId w:val="5"/>
      </w:numPr>
      <w:spacing w:before="240" w:line="240" w:lineRule="exact"/>
      <w:outlineLvl w:val="2"/>
    </w:pPr>
    <w:rPr>
      <w:i/>
    </w:rPr>
  </w:style>
  <w:style w:type="paragraph" w:styleId="Kop4">
    <w:name w:val="heading 4"/>
    <w:basedOn w:val="Standaard"/>
    <w:next w:val="Standaard"/>
    <w:uiPriority w:val="4"/>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590ACF"/>
    <w:rPr>
      <w:sz w:val="16"/>
      <w:szCs w:val="16"/>
    </w:rPr>
  </w:style>
  <w:style w:type="paragraph" w:styleId="Tekstopmerking">
    <w:name w:val="annotation text"/>
    <w:basedOn w:val="Standaard"/>
    <w:link w:val="TekstopmerkingChar"/>
    <w:uiPriority w:val="99"/>
    <w:semiHidden/>
    <w:unhideWhenUsed/>
    <w:rsid w:val="00590AC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90AC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90ACF"/>
    <w:rPr>
      <w:b/>
      <w:bCs/>
    </w:rPr>
  </w:style>
  <w:style w:type="character" w:customStyle="1" w:styleId="OnderwerpvanopmerkingChar">
    <w:name w:val="Onderwerp van opmerking Char"/>
    <w:basedOn w:val="TekstopmerkingChar"/>
    <w:link w:val="Onderwerpvanopmerking"/>
    <w:uiPriority w:val="99"/>
    <w:semiHidden/>
    <w:rsid w:val="00590ACF"/>
    <w:rPr>
      <w:rFonts w:ascii="Verdana" w:hAnsi="Verdana"/>
      <w:b/>
      <w:bCs/>
      <w:color w:val="000000"/>
    </w:rPr>
  </w:style>
  <w:style w:type="paragraph" w:styleId="Ballontekst">
    <w:name w:val="Balloon Text"/>
    <w:basedOn w:val="Standaard"/>
    <w:link w:val="BallontekstChar"/>
    <w:uiPriority w:val="99"/>
    <w:semiHidden/>
    <w:unhideWhenUsed/>
    <w:rsid w:val="00590ACF"/>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590ACF"/>
    <w:rPr>
      <w:rFonts w:ascii="Segoe UI" w:hAnsi="Segoe UI" w:cs="Segoe UI"/>
      <w:color w:val="000000"/>
      <w:sz w:val="18"/>
      <w:szCs w:val="18"/>
    </w:rPr>
  </w:style>
  <w:style w:type="paragraph" w:styleId="Voetnoottekst">
    <w:name w:val="footnote text"/>
    <w:basedOn w:val="Standaard"/>
    <w:link w:val="VoetnoottekstChar"/>
    <w:semiHidden/>
    <w:unhideWhenUsed/>
    <w:rsid w:val="00590ACF"/>
    <w:pPr>
      <w:autoSpaceDN/>
      <w:textAlignment w:val="auto"/>
    </w:pPr>
    <w:rPr>
      <w:rFonts w:eastAsia="Times New Roman" w:cs="Times New Roman"/>
      <w:color w:val="auto"/>
      <w:sz w:val="20"/>
      <w:szCs w:val="20"/>
    </w:rPr>
  </w:style>
  <w:style w:type="character" w:customStyle="1" w:styleId="VoetnoottekstChar">
    <w:name w:val="Voetnoottekst Char"/>
    <w:basedOn w:val="Standaardalinea-lettertype"/>
    <w:link w:val="Voetnoottekst"/>
    <w:semiHidden/>
    <w:rsid w:val="00590ACF"/>
    <w:rPr>
      <w:rFonts w:ascii="Verdana" w:eastAsia="Times New Roman" w:hAnsi="Verdana" w:cs="Times New Roman"/>
    </w:rPr>
  </w:style>
  <w:style w:type="character" w:styleId="Voetnootmarkering">
    <w:name w:val="footnote reference"/>
    <w:semiHidden/>
    <w:unhideWhenUsed/>
    <w:rsid w:val="00590ACF"/>
    <w:rPr>
      <w:vertAlign w:val="superscript"/>
    </w:rPr>
  </w:style>
  <w:style w:type="paragraph" w:customStyle="1" w:styleId="wat">
    <w:name w:val="wat"/>
    <w:basedOn w:val="Standaard"/>
    <w:rsid w:val="00590ACF"/>
    <w:pPr>
      <w:autoSpaceDN/>
      <w:spacing w:after="150" w:line="240" w:lineRule="auto"/>
      <w:textAlignment w:val="auto"/>
    </w:pPr>
    <w:rPr>
      <w:rFonts w:ascii="Times New Roman" w:eastAsia="Times New Roman" w:hAnsi="Times New Roman" w:cs="Times New Roman"/>
      <w:color w:val="auto"/>
      <w:sz w:val="24"/>
      <w:szCs w:val="24"/>
    </w:rPr>
  </w:style>
  <w:style w:type="paragraph" w:customStyle="1" w:styleId="lid">
    <w:name w:val="lid"/>
    <w:basedOn w:val="Standaard"/>
    <w:rsid w:val="00590ACF"/>
    <w:pPr>
      <w:autoSpaceDN/>
      <w:spacing w:after="150" w:line="240" w:lineRule="auto"/>
      <w:textAlignment w:val="auto"/>
    </w:pPr>
    <w:rPr>
      <w:rFonts w:ascii="Times New Roman" w:eastAsia="Times New Roman" w:hAnsi="Times New Roman" w:cs="Times New Roman"/>
      <w:color w:val="auto"/>
      <w:sz w:val="24"/>
      <w:szCs w:val="24"/>
    </w:rPr>
  </w:style>
  <w:style w:type="character" w:customStyle="1" w:styleId="lidnr">
    <w:name w:val="lidnr"/>
    <w:rsid w:val="00590ACF"/>
  </w:style>
  <w:style w:type="paragraph" w:customStyle="1" w:styleId="Default">
    <w:name w:val="Default"/>
    <w:rsid w:val="00590ACF"/>
    <w:pPr>
      <w:autoSpaceDE w:val="0"/>
      <w:adjustRightInd w:val="0"/>
      <w:textAlignment w:val="auto"/>
    </w:pPr>
    <w:rPr>
      <w:rFonts w:ascii="Verdana" w:eastAsia="Times New Roman" w:hAnsi="Verdana" w:cs="Verdana"/>
      <w:color w:val="000000"/>
      <w:sz w:val="24"/>
      <w:szCs w:val="24"/>
    </w:rPr>
  </w:style>
  <w:style w:type="paragraph" w:styleId="Lijstalinea">
    <w:name w:val="List Paragraph"/>
    <w:basedOn w:val="Standaard"/>
    <w:uiPriority w:val="34"/>
    <w:qFormat/>
    <w:rsid w:val="00AA301D"/>
    <w:pPr>
      <w:ind w:left="720"/>
      <w:contextualSpacing/>
    </w:pPr>
  </w:style>
  <w:style w:type="character" w:styleId="Hyperlink">
    <w:name w:val="Hyperlink"/>
    <w:basedOn w:val="Standaardalinea-lettertype"/>
    <w:uiPriority w:val="99"/>
    <w:semiHidden/>
    <w:unhideWhenUsed/>
    <w:rsid w:val="005877F4"/>
    <w:rPr>
      <w:color w:val="0000FF"/>
      <w:u w:val="single"/>
    </w:rPr>
  </w:style>
  <w:style w:type="paragraph" w:styleId="Revisie">
    <w:name w:val="Revision"/>
    <w:hidden/>
    <w:uiPriority w:val="99"/>
    <w:semiHidden/>
    <w:rsid w:val="00F37AF0"/>
    <w:pPr>
      <w:autoSpaceDN/>
      <w:textAlignment w:val="auto"/>
    </w:pPr>
    <w:rPr>
      <w:rFonts w:ascii="Verdana" w:hAnsi="Verdana"/>
      <w:color w:val="000000"/>
      <w:sz w:val="18"/>
      <w:szCs w:val="18"/>
    </w:rPr>
  </w:style>
  <w:style w:type="character" w:customStyle="1" w:styleId="nr">
    <w:name w:val="nr"/>
    <w:basedOn w:val="Standaardalinea-lettertype"/>
    <w:rsid w:val="00CE1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78976">
      <w:bodyDiv w:val="1"/>
      <w:marLeft w:val="0"/>
      <w:marRight w:val="0"/>
      <w:marTop w:val="0"/>
      <w:marBottom w:val="0"/>
      <w:divBdr>
        <w:top w:val="none" w:sz="0" w:space="0" w:color="auto"/>
        <w:left w:val="none" w:sz="0" w:space="0" w:color="auto"/>
        <w:bottom w:val="none" w:sz="0" w:space="0" w:color="auto"/>
        <w:right w:val="none" w:sz="0" w:space="0" w:color="auto"/>
      </w:divBdr>
    </w:div>
    <w:div w:id="167211119">
      <w:bodyDiv w:val="1"/>
      <w:marLeft w:val="0"/>
      <w:marRight w:val="0"/>
      <w:marTop w:val="0"/>
      <w:marBottom w:val="0"/>
      <w:divBdr>
        <w:top w:val="none" w:sz="0" w:space="0" w:color="auto"/>
        <w:left w:val="none" w:sz="0" w:space="0" w:color="auto"/>
        <w:bottom w:val="none" w:sz="0" w:space="0" w:color="auto"/>
        <w:right w:val="none" w:sz="0" w:space="0" w:color="auto"/>
      </w:divBdr>
    </w:div>
    <w:div w:id="287708461">
      <w:bodyDiv w:val="1"/>
      <w:marLeft w:val="0"/>
      <w:marRight w:val="0"/>
      <w:marTop w:val="0"/>
      <w:marBottom w:val="0"/>
      <w:divBdr>
        <w:top w:val="none" w:sz="0" w:space="0" w:color="auto"/>
        <w:left w:val="none" w:sz="0" w:space="0" w:color="auto"/>
        <w:bottom w:val="none" w:sz="0" w:space="0" w:color="auto"/>
        <w:right w:val="none" w:sz="0" w:space="0" w:color="auto"/>
      </w:divBdr>
    </w:div>
    <w:div w:id="387653472">
      <w:bodyDiv w:val="1"/>
      <w:marLeft w:val="0"/>
      <w:marRight w:val="0"/>
      <w:marTop w:val="0"/>
      <w:marBottom w:val="0"/>
      <w:divBdr>
        <w:top w:val="none" w:sz="0" w:space="0" w:color="auto"/>
        <w:left w:val="none" w:sz="0" w:space="0" w:color="auto"/>
        <w:bottom w:val="none" w:sz="0" w:space="0" w:color="auto"/>
        <w:right w:val="none" w:sz="0" w:space="0" w:color="auto"/>
      </w:divBdr>
    </w:div>
    <w:div w:id="494958041">
      <w:bodyDiv w:val="1"/>
      <w:marLeft w:val="0"/>
      <w:marRight w:val="0"/>
      <w:marTop w:val="0"/>
      <w:marBottom w:val="0"/>
      <w:divBdr>
        <w:top w:val="none" w:sz="0" w:space="0" w:color="auto"/>
        <w:left w:val="none" w:sz="0" w:space="0" w:color="auto"/>
        <w:bottom w:val="none" w:sz="0" w:space="0" w:color="auto"/>
        <w:right w:val="none" w:sz="0" w:space="0" w:color="auto"/>
      </w:divBdr>
    </w:div>
    <w:div w:id="505704623">
      <w:bodyDiv w:val="1"/>
      <w:marLeft w:val="0"/>
      <w:marRight w:val="0"/>
      <w:marTop w:val="0"/>
      <w:marBottom w:val="0"/>
      <w:divBdr>
        <w:top w:val="none" w:sz="0" w:space="0" w:color="auto"/>
        <w:left w:val="none" w:sz="0" w:space="0" w:color="auto"/>
        <w:bottom w:val="none" w:sz="0" w:space="0" w:color="auto"/>
        <w:right w:val="none" w:sz="0" w:space="0" w:color="auto"/>
      </w:divBdr>
    </w:div>
    <w:div w:id="628511199">
      <w:bodyDiv w:val="1"/>
      <w:marLeft w:val="0"/>
      <w:marRight w:val="0"/>
      <w:marTop w:val="0"/>
      <w:marBottom w:val="0"/>
      <w:divBdr>
        <w:top w:val="none" w:sz="0" w:space="0" w:color="auto"/>
        <w:left w:val="none" w:sz="0" w:space="0" w:color="auto"/>
        <w:bottom w:val="none" w:sz="0" w:space="0" w:color="auto"/>
        <w:right w:val="none" w:sz="0" w:space="0" w:color="auto"/>
      </w:divBdr>
    </w:div>
    <w:div w:id="632490365">
      <w:bodyDiv w:val="1"/>
      <w:marLeft w:val="0"/>
      <w:marRight w:val="0"/>
      <w:marTop w:val="0"/>
      <w:marBottom w:val="0"/>
      <w:divBdr>
        <w:top w:val="none" w:sz="0" w:space="0" w:color="auto"/>
        <w:left w:val="none" w:sz="0" w:space="0" w:color="auto"/>
        <w:bottom w:val="none" w:sz="0" w:space="0" w:color="auto"/>
        <w:right w:val="none" w:sz="0" w:space="0" w:color="auto"/>
      </w:divBdr>
    </w:div>
    <w:div w:id="712467060">
      <w:bodyDiv w:val="1"/>
      <w:marLeft w:val="0"/>
      <w:marRight w:val="0"/>
      <w:marTop w:val="0"/>
      <w:marBottom w:val="0"/>
      <w:divBdr>
        <w:top w:val="none" w:sz="0" w:space="0" w:color="auto"/>
        <w:left w:val="none" w:sz="0" w:space="0" w:color="auto"/>
        <w:bottom w:val="none" w:sz="0" w:space="0" w:color="auto"/>
        <w:right w:val="none" w:sz="0" w:space="0" w:color="auto"/>
      </w:divBdr>
    </w:div>
    <w:div w:id="761266375">
      <w:bodyDiv w:val="1"/>
      <w:marLeft w:val="0"/>
      <w:marRight w:val="0"/>
      <w:marTop w:val="0"/>
      <w:marBottom w:val="0"/>
      <w:divBdr>
        <w:top w:val="none" w:sz="0" w:space="0" w:color="auto"/>
        <w:left w:val="none" w:sz="0" w:space="0" w:color="auto"/>
        <w:bottom w:val="none" w:sz="0" w:space="0" w:color="auto"/>
        <w:right w:val="none" w:sz="0" w:space="0" w:color="auto"/>
      </w:divBdr>
    </w:div>
    <w:div w:id="781725864">
      <w:bodyDiv w:val="1"/>
      <w:marLeft w:val="0"/>
      <w:marRight w:val="0"/>
      <w:marTop w:val="0"/>
      <w:marBottom w:val="0"/>
      <w:divBdr>
        <w:top w:val="none" w:sz="0" w:space="0" w:color="auto"/>
        <w:left w:val="none" w:sz="0" w:space="0" w:color="auto"/>
        <w:bottom w:val="none" w:sz="0" w:space="0" w:color="auto"/>
        <w:right w:val="none" w:sz="0" w:space="0" w:color="auto"/>
      </w:divBdr>
    </w:div>
    <w:div w:id="850484110">
      <w:bodyDiv w:val="1"/>
      <w:marLeft w:val="0"/>
      <w:marRight w:val="0"/>
      <w:marTop w:val="0"/>
      <w:marBottom w:val="0"/>
      <w:divBdr>
        <w:top w:val="none" w:sz="0" w:space="0" w:color="auto"/>
        <w:left w:val="none" w:sz="0" w:space="0" w:color="auto"/>
        <w:bottom w:val="none" w:sz="0" w:space="0" w:color="auto"/>
        <w:right w:val="none" w:sz="0" w:space="0" w:color="auto"/>
      </w:divBdr>
    </w:div>
    <w:div w:id="915940061">
      <w:bodyDiv w:val="1"/>
      <w:marLeft w:val="0"/>
      <w:marRight w:val="0"/>
      <w:marTop w:val="0"/>
      <w:marBottom w:val="0"/>
      <w:divBdr>
        <w:top w:val="none" w:sz="0" w:space="0" w:color="auto"/>
        <w:left w:val="none" w:sz="0" w:space="0" w:color="auto"/>
        <w:bottom w:val="none" w:sz="0" w:space="0" w:color="auto"/>
        <w:right w:val="none" w:sz="0" w:space="0" w:color="auto"/>
      </w:divBdr>
    </w:div>
    <w:div w:id="948010523">
      <w:bodyDiv w:val="1"/>
      <w:marLeft w:val="0"/>
      <w:marRight w:val="0"/>
      <w:marTop w:val="0"/>
      <w:marBottom w:val="0"/>
      <w:divBdr>
        <w:top w:val="none" w:sz="0" w:space="0" w:color="auto"/>
        <w:left w:val="none" w:sz="0" w:space="0" w:color="auto"/>
        <w:bottom w:val="none" w:sz="0" w:space="0" w:color="auto"/>
        <w:right w:val="none" w:sz="0" w:space="0" w:color="auto"/>
      </w:divBdr>
    </w:div>
    <w:div w:id="1057626991">
      <w:bodyDiv w:val="1"/>
      <w:marLeft w:val="0"/>
      <w:marRight w:val="0"/>
      <w:marTop w:val="0"/>
      <w:marBottom w:val="0"/>
      <w:divBdr>
        <w:top w:val="none" w:sz="0" w:space="0" w:color="auto"/>
        <w:left w:val="none" w:sz="0" w:space="0" w:color="auto"/>
        <w:bottom w:val="none" w:sz="0" w:space="0" w:color="auto"/>
        <w:right w:val="none" w:sz="0" w:space="0" w:color="auto"/>
      </w:divBdr>
    </w:div>
    <w:div w:id="1142190362">
      <w:bodyDiv w:val="1"/>
      <w:marLeft w:val="0"/>
      <w:marRight w:val="0"/>
      <w:marTop w:val="0"/>
      <w:marBottom w:val="0"/>
      <w:divBdr>
        <w:top w:val="none" w:sz="0" w:space="0" w:color="auto"/>
        <w:left w:val="none" w:sz="0" w:space="0" w:color="auto"/>
        <w:bottom w:val="none" w:sz="0" w:space="0" w:color="auto"/>
        <w:right w:val="none" w:sz="0" w:space="0" w:color="auto"/>
      </w:divBdr>
    </w:div>
    <w:div w:id="1190796330">
      <w:bodyDiv w:val="1"/>
      <w:marLeft w:val="0"/>
      <w:marRight w:val="0"/>
      <w:marTop w:val="0"/>
      <w:marBottom w:val="0"/>
      <w:divBdr>
        <w:top w:val="none" w:sz="0" w:space="0" w:color="auto"/>
        <w:left w:val="none" w:sz="0" w:space="0" w:color="auto"/>
        <w:bottom w:val="none" w:sz="0" w:space="0" w:color="auto"/>
        <w:right w:val="none" w:sz="0" w:space="0" w:color="auto"/>
      </w:divBdr>
    </w:div>
    <w:div w:id="1358310466">
      <w:bodyDiv w:val="1"/>
      <w:marLeft w:val="0"/>
      <w:marRight w:val="0"/>
      <w:marTop w:val="0"/>
      <w:marBottom w:val="0"/>
      <w:divBdr>
        <w:top w:val="none" w:sz="0" w:space="0" w:color="auto"/>
        <w:left w:val="none" w:sz="0" w:space="0" w:color="auto"/>
        <w:bottom w:val="none" w:sz="0" w:space="0" w:color="auto"/>
        <w:right w:val="none" w:sz="0" w:space="0" w:color="auto"/>
      </w:divBdr>
    </w:div>
    <w:div w:id="1377269315">
      <w:bodyDiv w:val="1"/>
      <w:marLeft w:val="0"/>
      <w:marRight w:val="0"/>
      <w:marTop w:val="0"/>
      <w:marBottom w:val="0"/>
      <w:divBdr>
        <w:top w:val="none" w:sz="0" w:space="0" w:color="auto"/>
        <w:left w:val="none" w:sz="0" w:space="0" w:color="auto"/>
        <w:bottom w:val="none" w:sz="0" w:space="0" w:color="auto"/>
        <w:right w:val="none" w:sz="0" w:space="0" w:color="auto"/>
      </w:divBdr>
    </w:div>
    <w:div w:id="1490249760">
      <w:bodyDiv w:val="1"/>
      <w:marLeft w:val="0"/>
      <w:marRight w:val="0"/>
      <w:marTop w:val="0"/>
      <w:marBottom w:val="0"/>
      <w:divBdr>
        <w:top w:val="none" w:sz="0" w:space="0" w:color="auto"/>
        <w:left w:val="none" w:sz="0" w:space="0" w:color="auto"/>
        <w:bottom w:val="none" w:sz="0" w:space="0" w:color="auto"/>
        <w:right w:val="none" w:sz="0" w:space="0" w:color="auto"/>
      </w:divBdr>
    </w:div>
    <w:div w:id="1554150699">
      <w:bodyDiv w:val="1"/>
      <w:marLeft w:val="0"/>
      <w:marRight w:val="0"/>
      <w:marTop w:val="0"/>
      <w:marBottom w:val="0"/>
      <w:divBdr>
        <w:top w:val="none" w:sz="0" w:space="0" w:color="auto"/>
        <w:left w:val="none" w:sz="0" w:space="0" w:color="auto"/>
        <w:bottom w:val="none" w:sz="0" w:space="0" w:color="auto"/>
        <w:right w:val="none" w:sz="0" w:space="0" w:color="auto"/>
      </w:divBdr>
    </w:div>
    <w:div w:id="1567297556">
      <w:bodyDiv w:val="1"/>
      <w:marLeft w:val="0"/>
      <w:marRight w:val="0"/>
      <w:marTop w:val="0"/>
      <w:marBottom w:val="0"/>
      <w:divBdr>
        <w:top w:val="none" w:sz="0" w:space="0" w:color="auto"/>
        <w:left w:val="none" w:sz="0" w:space="0" w:color="auto"/>
        <w:bottom w:val="none" w:sz="0" w:space="0" w:color="auto"/>
        <w:right w:val="none" w:sz="0" w:space="0" w:color="auto"/>
      </w:divBdr>
    </w:div>
    <w:div w:id="1608543264">
      <w:bodyDiv w:val="1"/>
      <w:marLeft w:val="0"/>
      <w:marRight w:val="0"/>
      <w:marTop w:val="0"/>
      <w:marBottom w:val="0"/>
      <w:divBdr>
        <w:top w:val="none" w:sz="0" w:space="0" w:color="auto"/>
        <w:left w:val="none" w:sz="0" w:space="0" w:color="auto"/>
        <w:bottom w:val="none" w:sz="0" w:space="0" w:color="auto"/>
        <w:right w:val="none" w:sz="0" w:space="0" w:color="auto"/>
      </w:divBdr>
    </w:div>
    <w:div w:id="1834181082">
      <w:bodyDiv w:val="1"/>
      <w:marLeft w:val="0"/>
      <w:marRight w:val="0"/>
      <w:marTop w:val="0"/>
      <w:marBottom w:val="0"/>
      <w:divBdr>
        <w:top w:val="none" w:sz="0" w:space="0" w:color="auto"/>
        <w:left w:val="none" w:sz="0" w:space="0" w:color="auto"/>
        <w:bottom w:val="none" w:sz="0" w:space="0" w:color="auto"/>
        <w:right w:val="none" w:sz="0" w:space="0" w:color="auto"/>
      </w:divBdr>
    </w:div>
    <w:div w:id="1912544134">
      <w:bodyDiv w:val="1"/>
      <w:marLeft w:val="0"/>
      <w:marRight w:val="0"/>
      <w:marTop w:val="0"/>
      <w:marBottom w:val="0"/>
      <w:divBdr>
        <w:top w:val="none" w:sz="0" w:space="0" w:color="auto"/>
        <w:left w:val="none" w:sz="0" w:space="0" w:color="auto"/>
        <w:bottom w:val="none" w:sz="0" w:space="0" w:color="auto"/>
        <w:right w:val="none" w:sz="0" w:space="0" w:color="auto"/>
      </w:divBdr>
    </w:div>
    <w:div w:id="1931156384">
      <w:bodyDiv w:val="1"/>
      <w:marLeft w:val="0"/>
      <w:marRight w:val="0"/>
      <w:marTop w:val="0"/>
      <w:marBottom w:val="0"/>
      <w:divBdr>
        <w:top w:val="none" w:sz="0" w:space="0" w:color="auto"/>
        <w:left w:val="none" w:sz="0" w:space="0" w:color="auto"/>
        <w:bottom w:val="none" w:sz="0" w:space="0" w:color="auto"/>
        <w:right w:val="none" w:sz="0" w:space="0" w:color="auto"/>
      </w:divBdr>
    </w:div>
    <w:div w:id="1937210723">
      <w:bodyDiv w:val="1"/>
      <w:marLeft w:val="0"/>
      <w:marRight w:val="0"/>
      <w:marTop w:val="0"/>
      <w:marBottom w:val="0"/>
      <w:divBdr>
        <w:top w:val="none" w:sz="0" w:space="0" w:color="auto"/>
        <w:left w:val="none" w:sz="0" w:space="0" w:color="auto"/>
        <w:bottom w:val="none" w:sz="0" w:space="0" w:color="auto"/>
        <w:right w:val="none" w:sz="0" w:space="0" w:color="auto"/>
      </w:divBdr>
    </w:div>
    <w:div w:id="2140298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tten.overheid.nl/BWBR0017321/2021-01-0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webSetting" Target="webSettings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88E6E-AF4B-468A-B4BF-FB86AB6FF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5061</Words>
  <Characters>27836</Characters>
  <Application>Microsoft Office Word</Application>
  <DocSecurity>0</DocSecurity>
  <Lines>231</Lines>
  <Paragraphs>65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105</cp:revision>
  <dcterms:created xsi:type="dcterms:W3CDTF">2021-04-02T13:52:00Z</dcterms:created>
  <dcterms:modified xsi:type="dcterms:W3CDTF">2021-05-21T15:55:00Z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DocGen_Wij Willem-Alexander_nl_NL</vt:lpwstr>
  </property>
  <property fmtid="{D5CDD505-2E9C-101B-9397-08002B2CF9AE}" pid="3" name="iAuteur">
    <vt:lpwstr/>
  </property>
  <property fmtid="{D5CDD505-2E9C-101B-9397-08002B2CF9AE}" pid="4" name="iOnderwerp">
    <vt:lpwstr>Besluit kinderopvangtoeslag 2022</vt:lpwstr>
  </property>
  <property fmtid="{D5CDD505-2E9C-101B-9397-08002B2CF9AE}" pid="5" name="iOnsKenmerk">
    <vt:lpwstr>2021-0000082557</vt:lpwstr>
  </property>
</Properties>
</file>